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CE49" w14:textId="77777777" w:rsidR="003006A5" w:rsidRPr="00217BC0" w:rsidRDefault="003006A5" w:rsidP="008A4174">
      <w:pPr>
        <w:jc w:val="both"/>
        <w:rPr>
          <w:rFonts w:ascii="Arial" w:hAnsi="Arial" w:cs="Arial"/>
          <w:b/>
          <w:lang w:val="en-US"/>
        </w:rPr>
      </w:pPr>
      <w:r w:rsidRPr="00217BC0">
        <w:rPr>
          <w:rFonts w:ascii="Arial" w:hAnsi="Arial" w:cs="Arial"/>
          <w:b/>
          <w:lang w:val="en-US"/>
        </w:rPr>
        <w:t>Background</w:t>
      </w:r>
    </w:p>
    <w:p w14:paraId="4FF68F93" w14:textId="77777777" w:rsidR="003006A5" w:rsidRPr="00217BC0" w:rsidRDefault="003006A5" w:rsidP="008A4174">
      <w:pPr>
        <w:jc w:val="both"/>
        <w:rPr>
          <w:rFonts w:ascii="Arial" w:hAnsi="Arial" w:cs="Arial"/>
          <w:lang w:val="en-US"/>
        </w:rPr>
      </w:pPr>
      <w:r w:rsidRPr="00217BC0">
        <w:rPr>
          <w:rFonts w:ascii="Arial" w:hAnsi="Arial" w:cs="Arial"/>
          <w:u w:val="single"/>
          <w:lang w:val="en-US"/>
        </w:rPr>
        <w:t xml:space="preserve">Hookah smoking and cancer risk. </w:t>
      </w:r>
      <w:r w:rsidRPr="00217BC0">
        <w:rPr>
          <w:rFonts w:ascii="Arial" w:hAnsi="Arial" w:cs="Arial"/>
          <w:lang w:val="en-US"/>
        </w:rPr>
        <w:t>Historically, hookah smoking has been prevalent in North Africa and West and Central Asia, and a small number of studies have been published on health outcomes of hookah smoking from these regions [Akl et al., 2010; Raad et al., 2011]. Hookah smoke contains many toxic compounds found in cigarette smoke [</w:t>
      </w:r>
      <w:proofErr w:type="spellStart"/>
      <w:r w:rsidRPr="00217BC0">
        <w:rPr>
          <w:rFonts w:ascii="Arial" w:hAnsi="Arial" w:cs="Arial"/>
          <w:lang w:val="en-US"/>
        </w:rPr>
        <w:t>Eissenberg</w:t>
      </w:r>
      <w:proofErr w:type="spellEnd"/>
      <w:r w:rsidRPr="00217BC0">
        <w:rPr>
          <w:rFonts w:ascii="Arial" w:hAnsi="Arial" w:cs="Arial"/>
          <w:lang w:val="en-US"/>
        </w:rPr>
        <w:t xml:space="preserve"> &amp; Shihadeh, 2009; </w:t>
      </w:r>
      <w:proofErr w:type="spellStart"/>
      <w:r w:rsidRPr="00217BC0">
        <w:rPr>
          <w:rFonts w:ascii="Arial" w:hAnsi="Arial" w:cs="Arial"/>
          <w:lang w:val="en-US"/>
        </w:rPr>
        <w:t>Monzer</w:t>
      </w:r>
      <w:proofErr w:type="spellEnd"/>
      <w:r w:rsidRPr="00217BC0">
        <w:rPr>
          <w:rFonts w:ascii="Arial" w:hAnsi="Arial" w:cs="Arial"/>
          <w:lang w:val="en-US"/>
        </w:rPr>
        <w:t xml:space="preserve"> et al., 2008; Ghasemi et al., 2010], and hookah smokers appear to be exposed to the same agents as cigarette smokers, probably at higher levels: each puff from hookah has been reported to deliver 12-times as much smoke as a single cigarette puff [</w:t>
      </w:r>
      <w:proofErr w:type="spellStart"/>
      <w:r w:rsidRPr="00217BC0">
        <w:rPr>
          <w:rFonts w:ascii="Arial" w:hAnsi="Arial" w:cs="Arial"/>
          <w:lang w:val="en-US"/>
        </w:rPr>
        <w:t>Eissenberg</w:t>
      </w:r>
      <w:proofErr w:type="spellEnd"/>
      <w:r w:rsidRPr="00217BC0">
        <w:rPr>
          <w:rFonts w:ascii="Arial" w:hAnsi="Arial" w:cs="Arial"/>
          <w:lang w:val="en-US"/>
        </w:rPr>
        <w:t xml:space="preserve"> &amp; Shihadeh, 2009].</w:t>
      </w:r>
    </w:p>
    <w:tbl>
      <w:tblPr>
        <w:tblStyle w:val="TableGrid"/>
        <w:tblpPr w:leftFromText="180" w:rightFromText="180" w:vertAnchor="text" w:horzAnchor="margin" w:tblpY="82"/>
        <w:tblOverlap w:val="never"/>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917"/>
        <w:gridCol w:w="793"/>
        <w:gridCol w:w="117"/>
        <w:gridCol w:w="873"/>
        <w:gridCol w:w="900"/>
        <w:gridCol w:w="720"/>
        <w:gridCol w:w="1080"/>
      </w:tblGrid>
      <w:tr w:rsidR="003006A5" w:rsidRPr="00DD7FA2" w14:paraId="2C540FFB" w14:textId="77777777" w:rsidTr="008A4174">
        <w:tc>
          <w:tcPr>
            <w:tcW w:w="7560" w:type="dxa"/>
            <w:gridSpan w:val="8"/>
            <w:tcBorders>
              <w:bottom w:val="single" w:sz="4" w:space="0" w:color="auto"/>
            </w:tcBorders>
            <w:vAlign w:val="center"/>
          </w:tcPr>
          <w:p w14:paraId="40EED810" w14:textId="77777777" w:rsidR="003006A5" w:rsidRPr="00217BC0" w:rsidRDefault="003006A5" w:rsidP="008A4174">
            <w:pPr>
              <w:autoSpaceDE w:val="0"/>
              <w:autoSpaceDN w:val="0"/>
              <w:adjustRightInd w:val="0"/>
              <w:rPr>
                <w:rFonts w:ascii="Arial" w:hAnsi="Arial" w:cs="Arial"/>
                <w:b/>
                <w:color w:val="000000"/>
                <w:sz w:val="18"/>
                <w:szCs w:val="18"/>
                <w:lang w:val="en-US"/>
              </w:rPr>
            </w:pPr>
          </w:p>
          <w:p w14:paraId="25E3B99A" w14:textId="77777777" w:rsidR="003006A5" w:rsidRPr="00217BC0" w:rsidRDefault="003006A5" w:rsidP="008A4174">
            <w:pPr>
              <w:autoSpaceDE w:val="0"/>
              <w:autoSpaceDN w:val="0"/>
              <w:adjustRightInd w:val="0"/>
              <w:rPr>
                <w:rFonts w:ascii="Arial" w:hAnsi="Arial" w:cs="Arial"/>
                <w:color w:val="000000"/>
                <w:sz w:val="18"/>
                <w:szCs w:val="18"/>
                <w:lang w:val="en-US"/>
              </w:rPr>
            </w:pPr>
            <w:r w:rsidRPr="00217BC0">
              <w:rPr>
                <w:rFonts w:ascii="Arial" w:hAnsi="Arial" w:cs="Arial"/>
                <w:b/>
                <w:color w:val="000000"/>
                <w:sz w:val="18"/>
                <w:szCs w:val="18"/>
                <w:lang w:val="en-US"/>
              </w:rPr>
              <w:t>Table 1</w:t>
            </w:r>
            <w:r w:rsidRPr="00217BC0">
              <w:rPr>
                <w:rFonts w:ascii="Arial" w:hAnsi="Arial" w:cs="Arial"/>
                <w:color w:val="000000"/>
                <w:sz w:val="18"/>
                <w:szCs w:val="18"/>
                <w:lang w:val="en-US"/>
              </w:rPr>
              <w:t>. Epidemiologic studies of hookah smoking and risk of selected cancers</w:t>
            </w:r>
          </w:p>
        </w:tc>
      </w:tr>
      <w:tr w:rsidR="003006A5" w:rsidRPr="00B71635" w14:paraId="5819EDA7" w14:textId="77777777" w:rsidTr="008A4174">
        <w:tc>
          <w:tcPr>
            <w:tcW w:w="2160" w:type="dxa"/>
            <w:tcBorders>
              <w:top w:val="single" w:sz="4" w:space="0" w:color="auto"/>
              <w:bottom w:val="single" w:sz="4" w:space="0" w:color="auto"/>
            </w:tcBorders>
          </w:tcPr>
          <w:p w14:paraId="2FF5CB27" w14:textId="77777777" w:rsidR="003006A5" w:rsidRPr="00B71635" w:rsidRDefault="003006A5" w:rsidP="008A4174">
            <w:pPr>
              <w:autoSpaceDE w:val="0"/>
              <w:autoSpaceDN w:val="0"/>
              <w:adjustRightInd w:val="0"/>
              <w:rPr>
                <w:rFonts w:ascii="Arial" w:hAnsi="Arial" w:cs="Arial"/>
                <w:color w:val="000000"/>
                <w:sz w:val="18"/>
                <w:szCs w:val="18"/>
              </w:rPr>
            </w:pPr>
            <w:r>
              <w:rPr>
                <w:rFonts w:ascii="Arial" w:hAnsi="Arial" w:cs="Arial"/>
                <w:color w:val="000000"/>
                <w:sz w:val="18"/>
                <w:szCs w:val="18"/>
              </w:rPr>
              <w:t>Study</w:t>
            </w:r>
          </w:p>
        </w:tc>
        <w:tc>
          <w:tcPr>
            <w:tcW w:w="917" w:type="dxa"/>
            <w:tcBorders>
              <w:top w:val="single" w:sz="4" w:space="0" w:color="auto"/>
              <w:bottom w:val="single" w:sz="4" w:space="0" w:color="auto"/>
            </w:tcBorders>
          </w:tcPr>
          <w:p w14:paraId="037F6F23" w14:textId="77777777" w:rsidR="003006A5" w:rsidRPr="00B71635" w:rsidRDefault="003006A5" w:rsidP="008A4174">
            <w:pPr>
              <w:autoSpaceDE w:val="0"/>
              <w:autoSpaceDN w:val="0"/>
              <w:adjustRightInd w:val="0"/>
              <w:rPr>
                <w:rFonts w:ascii="Arial" w:hAnsi="Arial" w:cs="Arial"/>
                <w:color w:val="000000"/>
                <w:sz w:val="18"/>
                <w:szCs w:val="18"/>
              </w:rPr>
            </w:pPr>
            <w:r>
              <w:rPr>
                <w:rFonts w:ascii="Arial" w:hAnsi="Arial" w:cs="Arial"/>
                <w:color w:val="000000"/>
                <w:sz w:val="18"/>
                <w:szCs w:val="18"/>
              </w:rPr>
              <w:t>Country</w:t>
            </w:r>
          </w:p>
        </w:tc>
        <w:tc>
          <w:tcPr>
            <w:tcW w:w="910" w:type="dxa"/>
            <w:gridSpan w:val="2"/>
            <w:tcBorders>
              <w:top w:val="single" w:sz="4" w:space="0" w:color="auto"/>
              <w:bottom w:val="single" w:sz="4" w:space="0" w:color="auto"/>
            </w:tcBorders>
          </w:tcPr>
          <w:p w14:paraId="4AD74EA2" w14:textId="77777777" w:rsidR="003006A5" w:rsidRPr="00B71635" w:rsidRDefault="003006A5" w:rsidP="008A4174">
            <w:pPr>
              <w:autoSpaceDE w:val="0"/>
              <w:autoSpaceDN w:val="0"/>
              <w:adjustRightInd w:val="0"/>
              <w:jc w:val="center"/>
              <w:rPr>
                <w:rFonts w:ascii="Arial" w:hAnsi="Arial" w:cs="Arial"/>
                <w:color w:val="000000"/>
                <w:sz w:val="18"/>
                <w:szCs w:val="18"/>
              </w:rPr>
            </w:pPr>
            <w:r>
              <w:rPr>
                <w:rFonts w:ascii="Arial" w:hAnsi="Arial" w:cs="Arial"/>
                <w:color w:val="000000"/>
                <w:sz w:val="18"/>
                <w:szCs w:val="18"/>
              </w:rPr>
              <w:t>Type of controls</w:t>
            </w:r>
          </w:p>
        </w:tc>
        <w:tc>
          <w:tcPr>
            <w:tcW w:w="873" w:type="dxa"/>
            <w:tcBorders>
              <w:top w:val="single" w:sz="4" w:space="0" w:color="auto"/>
              <w:bottom w:val="single" w:sz="4" w:space="0" w:color="auto"/>
            </w:tcBorders>
          </w:tcPr>
          <w:p w14:paraId="40F06A2E" w14:textId="77777777" w:rsidR="003006A5" w:rsidRPr="00B71635" w:rsidRDefault="003006A5" w:rsidP="008A4174">
            <w:pPr>
              <w:autoSpaceDE w:val="0"/>
              <w:autoSpaceDN w:val="0"/>
              <w:adjustRightInd w:val="0"/>
              <w:jc w:val="center"/>
              <w:rPr>
                <w:rFonts w:ascii="Arial" w:hAnsi="Arial" w:cs="Arial"/>
                <w:color w:val="000000"/>
                <w:sz w:val="18"/>
                <w:szCs w:val="18"/>
              </w:rPr>
            </w:pPr>
            <w:r>
              <w:rPr>
                <w:rFonts w:ascii="Arial" w:hAnsi="Arial" w:cs="Arial"/>
                <w:color w:val="000000"/>
                <w:sz w:val="18"/>
                <w:szCs w:val="18"/>
              </w:rPr>
              <w:t>N ca/co</w:t>
            </w:r>
          </w:p>
        </w:tc>
        <w:tc>
          <w:tcPr>
            <w:tcW w:w="900" w:type="dxa"/>
            <w:tcBorders>
              <w:top w:val="single" w:sz="4" w:space="0" w:color="auto"/>
              <w:bottom w:val="single" w:sz="4" w:space="0" w:color="auto"/>
            </w:tcBorders>
          </w:tcPr>
          <w:p w14:paraId="62262B91" w14:textId="77777777" w:rsidR="003006A5" w:rsidRPr="00B71635" w:rsidRDefault="003006A5" w:rsidP="008A4174">
            <w:pPr>
              <w:autoSpaceDE w:val="0"/>
              <w:autoSpaceDN w:val="0"/>
              <w:adjustRightInd w:val="0"/>
              <w:jc w:val="center"/>
              <w:rPr>
                <w:rFonts w:ascii="Arial" w:hAnsi="Arial" w:cs="Arial"/>
                <w:color w:val="000000"/>
                <w:sz w:val="18"/>
                <w:szCs w:val="18"/>
              </w:rPr>
            </w:pPr>
            <w:r>
              <w:rPr>
                <w:rFonts w:ascii="Arial" w:hAnsi="Arial" w:cs="Arial"/>
                <w:color w:val="000000"/>
                <w:sz w:val="18"/>
                <w:szCs w:val="18"/>
              </w:rPr>
              <w:t>N exp ca/co</w:t>
            </w:r>
          </w:p>
        </w:tc>
        <w:tc>
          <w:tcPr>
            <w:tcW w:w="720" w:type="dxa"/>
            <w:tcBorders>
              <w:top w:val="single" w:sz="4" w:space="0" w:color="auto"/>
              <w:bottom w:val="single" w:sz="4" w:space="0" w:color="auto"/>
            </w:tcBorders>
          </w:tcPr>
          <w:p w14:paraId="6D62571A" w14:textId="77777777" w:rsidR="003006A5" w:rsidRPr="00B71635" w:rsidRDefault="003006A5" w:rsidP="008A4174">
            <w:pPr>
              <w:autoSpaceDE w:val="0"/>
              <w:autoSpaceDN w:val="0"/>
              <w:adjustRightInd w:val="0"/>
              <w:jc w:val="center"/>
              <w:rPr>
                <w:rFonts w:ascii="Arial" w:hAnsi="Arial" w:cs="Arial"/>
                <w:color w:val="000000"/>
                <w:sz w:val="18"/>
                <w:szCs w:val="18"/>
              </w:rPr>
            </w:pPr>
            <w:r>
              <w:rPr>
                <w:rFonts w:ascii="Arial" w:hAnsi="Arial" w:cs="Arial"/>
                <w:color w:val="000000"/>
                <w:sz w:val="18"/>
                <w:szCs w:val="18"/>
              </w:rPr>
              <w:t>OR</w:t>
            </w:r>
          </w:p>
        </w:tc>
        <w:tc>
          <w:tcPr>
            <w:tcW w:w="1080" w:type="dxa"/>
            <w:tcBorders>
              <w:top w:val="single" w:sz="4" w:space="0" w:color="auto"/>
              <w:bottom w:val="single" w:sz="4" w:space="0" w:color="auto"/>
            </w:tcBorders>
          </w:tcPr>
          <w:p w14:paraId="70B48331" w14:textId="77777777" w:rsidR="003006A5" w:rsidRPr="00B71635" w:rsidRDefault="003006A5" w:rsidP="008A4174">
            <w:pPr>
              <w:autoSpaceDE w:val="0"/>
              <w:autoSpaceDN w:val="0"/>
              <w:adjustRightInd w:val="0"/>
              <w:jc w:val="center"/>
              <w:rPr>
                <w:rFonts w:ascii="Arial" w:hAnsi="Arial" w:cs="Arial"/>
                <w:color w:val="000000"/>
                <w:sz w:val="18"/>
                <w:szCs w:val="18"/>
              </w:rPr>
            </w:pPr>
            <w:r>
              <w:rPr>
                <w:rFonts w:ascii="Arial" w:hAnsi="Arial" w:cs="Arial"/>
                <w:color w:val="000000"/>
                <w:sz w:val="18"/>
                <w:szCs w:val="18"/>
              </w:rPr>
              <w:t>95% CI</w:t>
            </w:r>
          </w:p>
        </w:tc>
      </w:tr>
      <w:tr w:rsidR="003006A5" w:rsidRPr="00B71635" w14:paraId="049CACE1" w14:textId="77777777" w:rsidTr="008A4174">
        <w:trPr>
          <w:trHeight w:val="20"/>
        </w:trPr>
        <w:tc>
          <w:tcPr>
            <w:tcW w:w="2160" w:type="dxa"/>
            <w:tcBorders>
              <w:top w:val="single" w:sz="4" w:space="0" w:color="auto"/>
            </w:tcBorders>
          </w:tcPr>
          <w:p w14:paraId="75BF0D6F" w14:textId="77777777" w:rsidR="003006A5" w:rsidRPr="00073559" w:rsidRDefault="003006A5" w:rsidP="008A4174">
            <w:pPr>
              <w:autoSpaceDE w:val="0"/>
              <w:autoSpaceDN w:val="0"/>
              <w:adjustRightInd w:val="0"/>
              <w:rPr>
                <w:rFonts w:ascii="Arial" w:hAnsi="Arial" w:cs="Arial"/>
                <w:b/>
                <w:color w:val="000000"/>
                <w:sz w:val="18"/>
                <w:szCs w:val="18"/>
              </w:rPr>
            </w:pPr>
            <w:r w:rsidRPr="00073559">
              <w:rPr>
                <w:rFonts w:ascii="Arial" w:hAnsi="Arial" w:cs="Arial"/>
                <w:b/>
                <w:color w:val="000000"/>
                <w:sz w:val="18"/>
                <w:szCs w:val="18"/>
              </w:rPr>
              <w:t>Lung cancer</w:t>
            </w:r>
          </w:p>
        </w:tc>
        <w:tc>
          <w:tcPr>
            <w:tcW w:w="917" w:type="dxa"/>
            <w:tcBorders>
              <w:top w:val="single" w:sz="4" w:space="0" w:color="auto"/>
            </w:tcBorders>
          </w:tcPr>
          <w:p w14:paraId="3D735F80" w14:textId="77777777" w:rsidR="003006A5" w:rsidRPr="00B71635" w:rsidRDefault="003006A5" w:rsidP="008A4174">
            <w:pPr>
              <w:autoSpaceDE w:val="0"/>
              <w:autoSpaceDN w:val="0"/>
              <w:adjustRightInd w:val="0"/>
              <w:rPr>
                <w:rFonts w:ascii="Arial" w:hAnsi="Arial" w:cs="Arial"/>
                <w:color w:val="000000"/>
                <w:sz w:val="18"/>
                <w:szCs w:val="18"/>
              </w:rPr>
            </w:pPr>
          </w:p>
        </w:tc>
        <w:tc>
          <w:tcPr>
            <w:tcW w:w="793" w:type="dxa"/>
            <w:tcBorders>
              <w:top w:val="single" w:sz="4" w:space="0" w:color="auto"/>
            </w:tcBorders>
          </w:tcPr>
          <w:p w14:paraId="0E2374DD"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990" w:type="dxa"/>
            <w:gridSpan w:val="2"/>
            <w:tcBorders>
              <w:top w:val="single" w:sz="4" w:space="0" w:color="auto"/>
            </w:tcBorders>
          </w:tcPr>
          <w:p w14:paraId="01470114"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900" w:type="dxa"/>
            <w:tcBorders>
              <w:top w:val="single" w:sz="4" w:space="0" w:color="auto"/>
            </w:tcBorders>
          </w:tcPr>
          <w:p w14:paraId="1C0117FC"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720" w:type="dxa"/>
            <w:tcBorders>
              <w:top w:val="single" w:sz="4" w:space="0" w:color="auto"/>
            </w:tcBorders>
          </w:tcPr>
          <w:p w14:paraId="7101EF78"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1080" w:type="dxa"/>
            <w:tcBorders>
              <w:top w:val="single" w:sz="4" w:space="0" w:color="auto"/>
            </w:tcBorders>
          </w:tcPr>
          <w:p w14:paraId="724CBA86" w14:textId="77777777" w:rsidR="003006A5" w:rsidRPr="00B71635" w:rsidRDefault="003006A5" w:rsidP="008A4174">
            <w:pPr>
              <w:autoSpaceDE w:val="0"/>
              <w:autoSpaceDN w:val="0"/>
              <w:adjustRightInd w:val="0"/>
              <w:jc w:val="center"/>
              <w:rPr>
                <w:rFonts w:ascii="Arial" w:hAnsi="Arial" w:cs="Arial"/>
                <w:color w:val="000000"/>
                <w:sz w:val="18"/>
                <w:szCs w:val="18"/>
              </w:rPr>
            </w:pPr>
          </w:p>
        </w:tc>
      </w:tr>
      <w:tr w:rsidR="003006A5" w:rsidRPr="00B71635" w14:paraId="52A8BCAD" w14:textId="77777777" w:rsidTr="008A4174">
        <w:trPr>
          <w:trHeight w:val="20"/>
        </w:trPr>
        <w:tc>
          <w:tcPr>
            <w:tcW w:w="2160" w:type="dxa"/>
          </w:tcPr>
          <w:p w14:paraId="09A0F382" w14:textId="77777777" w:rsidR="003006A5" w:rsidRPr="00B71635" w:rsidRDefault="003006A5" w:rsidP="008A4174">
            <w:pPr>
              <w:autoSpaceDE w:val="0"/>
              <w:autoSpaceDN w:val="0"/>
              <w:adjustRightInd w:val="0"/>
              <w:rPr>
                <w:rFonts w:ascii="Arial" w:hAnsi="Arial" w:cs="Arial"/>
                <w:color w:val="000000"/>
                <w:sz w:val="18"/>
                <w:szCs w:val="18"/>
                <w:lang w:val="fr-FR"/>
              </w:rPr>
            </w:pPr>
            <w:r w:rsidRPr="00B71635">
              <w:rPr>
                <w:rFonts w:ascii="Arial" w:hAnsi="Arial" w:cs="Arial"/>
                <w:color w:val="000000"/>
                <w:sz w:val="18"/>
                <w:szCs w:val="18"/>
                <w:lang w:val="fr-FR"/>
              </w:rPr>
              <w:t xml:space="preserve">Gupta et </w:t>
            </w:r>
            <w:r>
              <w:rPr>
                <w:rFonts w:ascii="Arial" w:hAnsi="Arial" w:cs="Arial"/>
                <w:color w:val="000000"/>
                <w:sz w:val="18"/>
                <w:szCs w:val="18"/>
                <w:lang w:val="fr-FR"/>
              </w:rPr>
              <w:t>al.,</w:t>
            </w:r>
            <w:r w:rsidRPr="00B71635">
              <w:rPr>
                <w:rFonts w:ascii="Arial" w:hAnsi="Arial" w:cs="Arial"/>
                <w:color w:val="000000"/>
                <w:sz w:val="18"/>
                <w:szCs w:val="18"/>
                <w:lang w:val="fr-FR"/>
              </w:rPr>
              <w:t xml:space="preserve"> 2001</w:t>
            </w:r>
          </w:p>
        </w:tc>
        <w:tc>
          <w:tcPr>
            <w:tcW w:w="917" w:type="dxa"/>
          </w:tcPr>
          <w:p w14:paraId="7EAA6570" w14:textId="77777777" w:rsidR="003006A5" w:rsidRPr="00B71635" w:rsidRDefault="003006A5" w:rsidP="008A4174">
            <w:pPr>
              <w:autoSpaceDE w:val="0"/>
              <w:autoSpaceDN w:val="0"/>
              <w:adjustRightInd w:val="0"/>
              <w:rPr>
                <w:rFonts w:ascii="Arial" w:hAnsi="Arial" w:cs="Arial"/>
                <w:color w:val="000000"/>
                <w:sz w:val="18"/>
                <w:szCs w:val="18"/>
                <w:lang w:val="fr-FR"/>
              </w:rPr>
            </w:pPr>
            <w:proofErr w:type="spellStart"/>
            <w:r>
              <w:rPr>
                <w:rFonts w:ascii="Arial" w:hAnsi="Arial" w:cs="Arial"/>
                <w:color w:val="000000"/>
                <w:sz w:val="18"/>
                <w:szCs w:val="18"/>
                <w:lang w:val="fr-FR"/>
              </w:rPr>
              <w:t>India</w:t>
            </w:r>
            <w:proofErr w:type="spellEnd"/>
          </w:p>
        </w:tc>
        <w:tc>
          <w:tcPr>
            <w:tcW w:w="793" w:type="dxa"/>
          </w:tcPr>
          <w:p w14:paraId="6A028820"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HV</w:t>
            </w:r>
          </w:p>
        </w:tc>
        <w:tc>
          <w:tcPr>
            <w:tcW w:w="990" w:type="dxa"/>
            <w:gridSpan w:val="2"/>
          </w:tcPr>
          <w:p w14:paraId="7E2D1900"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265/525</w:t>
            </w:r>
          </w:p>
        </w:tc>
        <w:tc>
          <w:tcPr>
            <w:tcW w:w="900" w:type="dxa"/>
          </w:tcPr>
          <w:p w14:paraId="23250BFD"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12/31</w:t>
            </w:r>
          </w:p>
        </w:tc>
        <w:tc>
          <w:tcPr>
            <w:tcW w:w="720" w:type="dxa"/>
          </w:tcPr>
          <w:p w14:paraId="5F49AD78"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2.56</w:t>
            </w:r>
          </w:p>
        </w:tc>
        <w:tc>
          <w:tcPr>
            <w:tcW w:w="1080" w:type="dxa"/>
          </w:tcPr>
          <w:p w14:paraId="2890B627"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1.17-5.61</w:t>
            </w:r>
          </w:p>
        </w:tc>
      </w:tr>
      <w:tr w:rsidR="003006A5" w:rsidRPr="00B71635" w14:paraId="680B5C94" w14:textId="77777777" w:rsidTr="008A4174">
        <w:trPr>
          <w:trHeight w:val="20"/>
        </w:trPr>
        <w:tc>
          <w:tcPr>
            <w:tcW w:w="2160" w:type="dxa"/>
          </w:tcPr>
          <w:p w14:paraId="2E5B0FC4" w14:textId="77777777" w:rsidR="003006A5" w:rsidRPr="00B71635" w:rsidRDefault="003006A5" w:rsidP="008A4174">
            <w:pPr>
              <w:autoSpaceDE w:val="0"/>
              <w:autoSpaceDN w:val="0"/>
              <w:adjustRightInd w:val="0"/>
              <w:rPr>
                <w:rFonts w:ascii="Arial" w:hAnsi="Arial" w:cs="Arial"/>
                <w:color w:val="000000"/>
                <w:sz w:val="18"/>
                <w:szCs w:val="18"/>
                <w:lang w:val="fr-FR"/>
              </w:rPr>
            </w:pPr>
            <w:proofErr w:type="spellStart"/>
            <w:r w:rsidRPr="00B71635">
              <w:rPr>
                <w:rFonts w:ascii="Arial" w:hAnsi="Arial" w:cs="Arial"/>
                <w:color w:val="000000"/>
                <w:sz w:val="18"/>
                <w:szCs w:val="18"/>
                <w:lang w:val="fr-FR"/>
              </w:rPr>
              <w:t>Koul</w:t>
            </w:r>
            <w:proofErr w:type="spellEnd"/>
            <w:r w:rsidRPr="00B71635">
              <w:rPr>
                <w:rFonts w:ascii="Arial" w:hAnsi="Arial" w:cs="Arial"/>
                <w:color w:val="000000"/>
                <w:sz w:val="18"/>
                <w:szCs w:val="18"/>
                <w:lang w:val="fr-FR"/>
              </w:rPr>
              <w:t xml:space="preserve"> et </w:t>
            </w:r>
            <w:r>
              <w:rPr>
                <w:rFonts w:ascii="Arial" w:hAnsi="Arial" w:cs="Arial"/>
                <w:color w:val="000000"/>
                <w:sz w:val="18"/>
                <w:szCs w:val="18"/>
                <w:lang w:val="fr-FR"/>
              </w:rPr>
              <w:t>al.,</w:t>
            </w:r>
            <w:r w:rsidRPr="00B71635">
              <w:rPr>
                <w:rFonts w:ascii="Arial" w:hAnsi="Arial" w:cs="Arial"/>
                <w:color w:val="000000"/>
                <w:sz w:val="18"/>
                <w:szCs w:val="18"/>
                <w:lang w:val="fr-FR"/>
              </w:rPr>
              <w:t xml:space="preserve"> 2011</w:t>
            </w:r>
          </w:p>
        </w:tc>
        <w:tc>
          <w:tcPr>
            <w:tcW w:w="917" w:type="dxa"/>
          </w:tcPr>
          <w:p w14:paraId="7678A0A6" w14:textId="77777777" w:rsidR="003006A5" w:rsidRPr="00B71635" w:rsidRDefault="003006A5" w:rsidP="008A4174">
            <w:pPr>
              <w:autoSpaceDE w:val="0"/>
              <w:autoSpaceDN w:val="0"/>
              <w:adjustRightInd w:val="0"/>
              <w:rPr>
                <w:rFonts w:ascii="Arial" w:hAnsi="Arial" w:cs="Arial"/>
                <w:color w:val="000000"/>
                <w:sz w:val="18"/>
                <w:szCs w:val="18"/>
                <w:lang w:val="fr-FR"/>
              </w:rPr>
            </w:pPr>
            <w:proofErr w:type="spellStart"/>
            <w:r>
              <w:rPr>
                <w:rFonts w:ascii="Arial" w:hAnsi="Arial" w:cs="Arial"/>
                <w:color w:val="000000"/>
                <w:sz w:val="18"/>
                <w:szCs w:val="18"/>
                <w:lang w:val="fr-FR"/>
              </w:rPr>
              <w:t>India</w:t>
            </w:r>
            <w:proofErr w:type="spellEnd"/>
          </w:p>
        </w:tc>
        <w:tc>
          <w:tcPr>
            <w:tcW w:w="793" w:type="dxa"/>
          </w:tcPr>
          <w:p w14:paraId="0CB80754"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R</w:t>
            </w:r>
          </w:p>
        </w:tc>
        <w:tc>
          <w:tcPr>
            <w:tcW w:w="990" w:type="dxa"/>
            <w:gridSpan w:val="2"/>
          </w:tcPr>
          <w:p w14:paraId="0AFDE148"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251/500</w:t>
            </w:r>
          </w:p>
        </w:tc>
        <w:tc>
          <w:tcPr>
            <w:tcW w:w="900" w:type="dxa"/>
          </w:tcPr>
          <w:p w14:paraId="48B850BC"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120/100</w:t>
            </w:r>
          </w:p>
        </w:tc>
        <w:tc>
          <w:tcPr>
            <w:tcW w:w="720" w:type="dxa"/>
          </w:tcPr>
          <w:p w14:paraId="61FE245F"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5.83</w:t>
            </w:r>
          </w:p>
        </w:tc>
        <w:tc>
          <w:tcPr>
            <w:tcW w:w="1080" w:type="dxa"/>
          </w:tcPr>
          <w:p w14:paraId="6DC635D0"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3.95-8.61</w:t>
            </w:r>
          </w:p>
        </w:tc>
      </w:tr>
      <w:tr w:rsidR="003006A5" w:rsidRPr="00B71635" w14:paraId="3817BE2C" w14:textId="77777777" w:rsidTr="008A4174">
        <w:trPr>
          <w:trHeight w:val="20"/>
        </w:trPr>
        <w:tc>
          <w:tcPr>
            <w:tcW w:w="2160" w:type="dxa"/>
          </w:tcPr>
          <w:p w14:paraId="16EB88E3" w14:textId="77777777" w:rsidR="003006A5" w:rsidRPr="00B71635" w:rsidRDefault="003006A5" w:rsidP="008A4174">
            <w:pPr>
              <w:autoSpaceDE w:val="0"/>
              <w:autoSpaceDN w:val="0"/>
              <w:adjustRightInd w:val="0"/>
              <w:rPr>
                <w:rFonts w:ascii="Arial" w:hAnsi="Arial" w:cs="Arial"/>
                <w:color w:val="000000"/>
                <w:sz w:val="18"/>
                <w:szCs w:val="18"/>
                <w:lang w:val="fr-FR"/>
              </w:rPr>
            </w:pPr>
            <w:r w:rsidRPr="00B71635">
              <w:rPr>
                <w:rFonts w:ascii="Arial" w:hAnsi="Arial" w:cs="Arial"/>
                <w:color w:val="000000"/>
                <w:sz w:val="18"/>
                <w:szCs w:val="18"/>
                <w:lang w:val="fr-FR"/>
              </w:rPr>
              <w:t xml:space="preserve">Aoun et </w:t>
            </w:r>
            <w:r>
              <w:rPr>
                <w:rFonts w:ascii="Arial" w:hAnsi="Arial" w:cs="Arial"/>
                <w:color w:val="000000"/>
                <w:sz w:val="18"/>
                <w:szCs w:val="18"/>
                <w:lang w:val="fr-FR"/>
              </w:rPr>
              <w:t>al.,</w:t>
            </w:r>
            <w:r w:rsidRPr="00B71635">
              <w:rPr>
                <w:rFonts w:ascii="Arial" w:hAnsi="Arial" w:cs="Arial"/>
                <w:color w:val="000000"/>
                <w:sz w:val="18"/>
                <w:szCs w:val="18"/>
                <w:lang w:val="fr-FR"/>
              </w:rPr>
              <w:t xml:space="preserve"> 2013</w:t>
            </w:r>
          </w:p>
        </w:tc>
        <w:tc>
          <w:tcPr>
            <w:tcW w:w="917" w:type="dxa"/>
          </w:tcPr>
          <w:p w14:paraId="64EF2E40" w14:textId="77777777" w:rsidR="003006A5" w:rsidRPr="00B71635" w:rsidRDefault="003006A5" w:rsidP="008A4174">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Lebanon</w:t>
            </w:r>
          </w:p>
        </w:tc>
        <w:tc>
          <w:tcPr>
            <w:tcW w:w="793" w:type="dxa"/>
          </w:tcPr>
          <w:p w14:paraId="46CE3985"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HV</w:t>
            </w:r>
          </w:p>
        </w:tc>
        <w:tc>
          <w:tcPr>
            <w:tcW w:w="990" w:type="dxa"/>
            <w:gridSpan w:val="2"/>
          </w:tcPr>
          <w:p w14:paraId="70818F36"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50/500</w:t>
            </w:r>
          </w:p>
        </w:tc>
        <w:tc>
          <w:tcPr>
            <w:tcW w:w="900" w:type="dxa"/>
          </w:tcPr>
          <w:p w14:paraId="355FFA09"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10/4</w:t>
            </w:r>
          </w:p>
        </w:tc>
        <w:tc>
          <w:tcPr>
            <w:tcW w:w="720" w:type="dxa"/>
          </w:tcPr>
          <w:p w14:paraId="3E080901"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6.00</w:t>
            </w:r>
          </w:p>
        </w:tc>
        <w:tc>
          <w:tcPr>
            <w:tcW w:w="1080" w:type="dxa"/>
          </w:tcPr>
          <w:p w14:paraId="554E4E1E" w14:textId="77777777" w:rsidR="003006A5" w:rsidRPr="00B71635" w:rsidRDefault="003006A5" w:rsidP="008A4174">
            <w:pPr>
              <w:autoSpaceDE w:val="0"/>
              <w:autoSpaceDN w:val="0"/>
              <w:adjustRightInd w:val="0"/>
              <w:jc w:val="center"/>
              <w:rPr>
                <w:rFonts w:ascii="Arial" w:hAnsi="Arial" w:cs="Arial"/>
                <w:color w:val="000000"/>
                <w:sz w:val="18"/>
                <w:szCs w:val="18"/>
              </w:rPr>
            </w:pPr>
            <w:r w:rsidRPr="00B71635">
              <w:rPr>
                <w:rFonts w:ascii="Arial" w:hAnsi="Arial" w:cs="Arial"/>
                <w:color w:val="000000"/>
                <w:sz w:val="18"/>
                <w:szCs w:val="18"/>
                <w:lang w:val="fr-FR"/>
              </w:rPr>
              <w:t>1.78-20.26</w:t>
            </w:r>
          </w:p>
        </w:tc>
      </w:tr>
      <w:tr w:rsidR="003006A5" w:rsidRPr="00073559" w14:paraId="60B751EC" w14:textId="77777777" w:rsidTr="008A4174">
        <w:trPr>
          <w:trHeight w:val="20"/>
        </w:trPr>
        <w:tc>
          <w:tcPr>
            <w:tcW w:w="2160" w:type="dxa"/>
            <w:tcBorders>
              <w:bottom w:val="single" w:sz="4" w:space="0" w:color="auto"/>
            </w:tcBorders>
          </w:tcPr>
          <w:p w14:paraId="01E77FB2" w14:textId="77777777" w:rsidR="003006A5" w:rsidRPr="00073559" w:rsidRDefault="003006A5" w:rsidP="008A4174">
            <w:pPr>
              <w:autoSpaceDE w:val="0"/>
              <w:autoSpaceDN w:val="0"/>
              <w:adjustRightInd w:val="0"/>
              <w:rPr>
                <w:rFonts w:ascii="Arial" w:hAnsi="Arial" w:cs="Arial"/>
                <w:i/>
                <w:color w:val="000000"/>
                <w:sz w:val="18"/>
                <w:szCs w:val="18"/>
              </w:rPr>
            </w:pPr>
            <w:r w:rsidRPr="00073559">
              <w:rPr>
                <w:rFonts w:ascii="Arial" w:hAnsi="Arial" w:cs="Arial"/>
                <w:i/>
                <w:color w:val="000000"/>
                <w:sz w:val="18"/>
                <w:szCs w:val="18"/>
              </w:rPr>
              <w:t>Meta-analysis</w:t>
            </w:r>
          </w:p>
        </w:tc>
        <w:tc>
          <w:tcPr>
            <w:tcW w:w="917" w:type="dxa"/>
            <w:tcBorders>
              <w:bottom w:val="single" w:sz="4" w:space="0" w:color="auto"/>
            </w:tcBorders>
          </w:tcPr>
          <w:p w14:paraId="291A7DBF" w14:textId="77777777" w:rsidR="003006A5" w:rsidRPr="00073559" w:rsidRDefault="003006A5" w:rsidP="008A4174">
            <w:pPr>
              <w:autoSpaceDE w:val="0"/>
              <w:autoSpaceDN w:val="0"/>
              <w:adjustRightInd w:val="0"/>
              <w:rPr>
                <w:rFonts w:ascii="Arial" w:hAnsi="Arial" w:cs="Arial"/>
                <w:i/>
                <w:color w:val="000000"/>
                <w:sz w:val="18"/>
                <w:szCs w:val="18"/>
              </w:rPr>
            </w:pPr>
          </w:p>
        </w:tc>
        <w:tc>
          <w:tcPr>
            <w:tcW w:w="793" w:type="dxa"/>
            <w:tcBorders>
              <w:bottom w:val="single" w:sz="4" w:space="0" w:color="auto"/>
            </w:tcBorders>
          </w:tcPr>
          <w:p w14:paraId="7856D710" w14:textId="77777777" w:rsidR="003006A5" w:rsidRPr="00073559" w:rsidRDefault="003006A5" w:rsidP="008A4174">
            <w:pPr>
              <w:autoSpaceDE w:val="0"/>
              <w:autoSpaceDN w:val="0"/>
              <w:adjustRightInd w:val="0"/>
              <w:jc w:val="center"/>
              <w:rPr>
                <w:rFonts w:ascii="Arial" w:hAnsi="Arial" w:cs="Arial"/>
                <w:i/>
                <w:color w:val="000000"/>
                <w:sz w:val="18"/>
                <w:szCs w:val="18"/>
              </w:rPr>
            </w:pPr>
          </w:p>
        </w:tc>
        <w:tc>
          <w:tcPr>
            <w:tcW w:w="990" w:type="dxa"/>
            <w:gridSpan w:val="2"/>
            <w:tcBorders>
              <w:bottom w:val="single" w:sz="4" w:space="0" w:color="auto"/>
            </w:tcBorders>
          </w:tcPr>
          <w:p w14:paraId="36856704" w14:textId="77777777" w:rsidR="003006A5" w:rsidRPr="00073559" w:rsidRDefault="003006A5" w:rsidP="008A4174">
            <w:pPr>
              <w:autoSpaceDE w:val="0"/>
              <w:autoSpaceDN w:val="0"/>
              <w:adjustRightInd w:val="0"/>
              <w:jc w:val="center"/>
              <w:rPr>
                <w:rFonts w:ascii="Arial" w:hAnsi="Arial" w:cs="Arial"/>
                <w:i/>
                <w:color w:val="000000"/>
                <w:sz w:val="18"/>
                <w:szCs w:val="18"/>
              </w:rPr>
            </w:pPr>
          </w:p>
        </w:tc>
        <w:tc>
          <w:tcPr>
            <w:tcW w:w="900" w:type="dxa"/>
            <w:tcBorders>
              <w:bottom w:val="single" w:sz="4" w:space="0" w:color="auto"/>
            </w:tcBorders>
          </w:tcPr>
          <w:p w14:paraId="36CDD500" w14:textId="77777777" w:rsidR="003006A5" w:rsidRPr="00073559" w:rsidRDefault="003006A5" w:rsidP="008A4174">
            <w:pPr>
              <w:autoSpaceDE w:val="0"/>
              <w:autoSpaceDN w:val="0"/>
              <w:adjustRightInd w:val="0"/>
              <w:jc w:val="center"/>
              <w:rPr>
                <w:rFonts w:ascii="Arial" w:hAnsi="Arial" w:cs="Arial"/>
                <w:i/>
                <w:color w:val="000000"/>
                <w:sz w:val="18"/>
                <w:szCs w:val="18"/>
              </w:rPr>
            </w:pPr>
          </w:p>
        </w:tc>
        <w:tc>
          <w:tcPr>
            <w:tcW w:w="720" w:type="dxa"/>
            <w:tcBorders>
              <w:bottom w:val="single" w:sz="4" w:space="0" w:color="auto"/>
            </w:tcBorders>
          </w:tcPr>
          <w:p w14:paraId="117144F5" w14:textId="77777777" w:rsidR="003006A5" w:rsidRPr="00073559" w:rsidRDefault="003006A5" w:rsidP="008A4174">
            <w:pPr>
              <w:autoSpaceDE w:val="0"/>
              <w:autoSpaceDN w:val="0"/>
              <w:adjustRightInd w:val="0"/>
              <w:jc w:val="center"/>
              <w:rPr>
                <w:rFonts w:ascii="Arial" w:hAnsi="Arial" w:cs="Arial"/>
                <w:i/>
                <w:color w:val="000000"/>
                <w:sz w:val="18"/>
                <w:szCs w:val="18"/>
              </w:rPr>
            </w:pPr>
            <w:r w:rsidRPr="00073559">
              <w:rPr>
                <w:rFonts w:ascii="Arial" w:hAnsi="Arial" w:cs="Arial"/>
                <w:i/>
                <w:color w:val="000000"/>
                <w:sz w:val="18"/>
                <w:szCs w:val="18"/>
              </w:rPr>
              <w:t>4.58</w:t>
            </w:r>
          </w:p>
        </w:tc>
        <w:tc>
          <w:tcPr>
            <w:tcW w:w="1080" w:type="dxa"/>
            <w:tcBorders>
              <w:bottom w:val="single" w:sz="4" w:space="0" w:color="auto"/>
            </w:tcBorders>
          </w:tcPr>
          <w:p w14:paraId="416F2A52" w14:textId="77777777" w:rsidR="003006A5" w:rsidRPr="00073559" w:rsidRDefault="003006A5" w:rsidP="008A4174">
            <w:pPr>
              <w:autoSpaceDE w:val="0"/>
              <w:autoSpaceDN w:val="0"/>
              <w:adjustRightInd w:val="0"/>
              <w:jc w:val="center"/>
              <w:rPr>
                <w:rFonts w:ascii="Arial" w:hAnsi="Arial" w:cs="Arial"/>
                <w:i/>
                <w:color w:val="000000"/>
                <w:sz w:val="18"/>
                <w:szCs w:val="18"/>
              </w:rPr>
            </w:pPr>
            <w:r w:rsidRPr="00073559">
              <w:rPr>
                <w:rFonts w:ascii="Arial" w:hAnsi="Arial" w:cs="Arial"/>
                <w:i/>
                <w:color w:val="000000"/>
                <w:sz w:val="18"/>
                <w:szCs w:val="18"/>
              </w:rPr>
              <w:t>2.61-8.03</w:t>
            </w:r>
          </w:p>
        </w:tc>
      </w:tr>
      <w:tr w:rsidR="003006A5" w:rsidRPr="00B71635" w14:paraId="630F9811" w14:textId="77777777" w:rsidTr="008A4174">
        <w:trPr>
          <w:trHeight w:val="20"/>
        </w:trPr>
        <w:tc>
          <w:tcPr>
            <w:tcW w:w="2160" w:type="dxa"/>
            <w:tcBorders>
              <w:top w:val="single" w:sz="4" w:space="0" w:color="auto"/>
            </w:tcBorders>
          </w:tcPr>
          <w:p w14:paraId="73CEA52C" w14:textId="77777777" w:rsidR="003006A5" w:rsidRPr="00073559" w:rsidRDefault="003006A5" w:rsidP="008A4174">
            <w:pPr>
              <w:autoSpaceDE w:val="0"/>
              <w:autoSpaceDN w:val="0"/>
              <w:adjustRightInd w:val="0"/>
              <w:rPr>
                <w:rFonts w:ascii="Arial" w:hAnsi="Arial" w:cs="Arial"/>
                <w:b/>
                <w:color w:val="000000"/>
                <w:sz w:val="18"/>
                <w:szCs w:val="18"/>
              </w:rPr>
            </w:pPr>
            <w:r w:rsidRPr="00073559">
              <w:rPr>
                <w:rFonts w:ascii="Arial" w:hAnsi="Arial" w:cs="Arial"/>
                <w:b/>
                <w:color w:val="000000"/>
                <w:sz w:val="18"/>
                <w:szCs w:val="18"/>
              </w:rPr>
              <w:t>Esophageal cancer</w:t>
            </w:r>
          </w:p>
        </w:tc>
        <w:tc>
          <w:tcPr>
            <w:tcW w:w="917" w:type="dxa"/>
            <w:tcBorders>
              <w:top w:val="single" w:sz="4" w:space="0" w:color="auto"/>
            </w:tcBorders>
          </w:tcPr>
          <w:p w14:paraId="59A36C0A" w14:textId="77777777" w:rsidR="003006A5" w:rsidRPr="00B71635" w:rsidRDefault="003006A5" w:rsidP="008A4174">
            <w:pPr>
              <w:autoSpaceDE w:val="0"/>
              <w:autoSpaceDN w:val="0"/>
              <w:adjustRightInd w:val="0"/>
              <w:rPr>
                <w:rFonts w:ascii="Arial" w:hAnsi="Arial" w:cs="Arial"/>
                <w:color w:val="000000"/>
                <w:sz w:val="18"/>
                <w:szCs w:val="18"/>
              </w:rPr>
            </w:pPr>
          </w:p>
        </w:tc>
        <w:tc>
          <w:tcPr>
            <w:tcW w:w="793" w:type="dxa"/>
            <w:tcBorders>
              <w:top w:val="single" w:sz="4" w:space="0" w:color="auto"/>
            </w:tcBorders>
          </w:tcPr>
          <w:p w14:paraId="6D749A91"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990" w:type="dxa"/>
            <w:gridSpan w:val="2"/>
            <w:tcBorders>
              <w:top w:val="single" w:sz="4" w:space="0" w:color="auto"/>
            </w:tcBorders>
          </w:tcPr>
          <w:p w14:paraId="2D5A8BD6"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900" w:type="dxa"/>
            <w:tcBorders>
              <w:top w:val="single" w:sz="4" w:space="0" w:color="auto"/>
            </w:tcBorders>
          </w:tcPr>
          <w:p w14:paraId="05B35E99"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720" w:type="dxa"/>
            <w:tcBorders>
              <w:top w:val="single" w:sz="4" w:space="0" w:color="auto"/>
            </w:tcBorders>
          </w:tcPr>
          <w:p w14:paraId="4D40BC7E"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1080" w:type="dxa"/>
            <w:tcBorders>
              <w:top w:val="single" w:sz="4" w:space="0" w:color="auto"/>
            </w:tcBorders>
          </w:tcPr>
          <w:p w14:paraId="478C0E5B" w14:textId="77777777" w:rsidR="003006A5" w:rsidRPr="00B71635" w:rsidRDefault="003006A5" w:rsidP="008A4174">
            <w:pPr>
              <w:autoSpaceDE w:val="0"/>
              <w:autoSpaceDN w:val="0"/>
              <w:adjustRightInd w:val="0"/>
              <w:jc w:val="center"/>
              <w:rPr>
                <w:rFonts w:ascii="Arial" w:hAnsi="Arial" w:cs="Arial"/>
                <w:color w:val="000000"/>
                <w:sz w:val="18"/>
                <w:szCs w:val="18"/>
              </w:rPr>
            </w:pPr>
          </w:p>
        </w:tc>
      </w:tr>
      <w:tr w:rsidR="003006A5" w:rsidRPr="00B71635" w14:paraId="6268FE7D" w14:textId="77777777" w:rsidTr="008A4174">
        <w:trPr>
          <w:trHeight w:val="20"/>
        </w:trPr>
        <w:tc>
          <w:tcPr>
            <w:tcW w:w="2160" w:type="dxa"/>
          </w:tcPr>
          <w:p w14:paraId="6849AA4D" w14:textId="77777777" w:rsidR="003006A5" w:rsidRPr="00B71635" w:rsidRDefault="003006A5" w:rsidP="008A4174">
            <w:pPr>
              <w:autoSpaceDE w:val="0"/>
              <w:autoSpaceDN w:val="0"/>
              <w:adjustRightInd w:val="0"/>
              <w:rPr>
                <w:rFonts w:ascii="Arial" w:hAnsi="Arial" w:cs="Arial"/>
                <w:color w:val="000000"/>
                <w:sz w:val="18"/>
                <w:szCs w:val="18"/>
                <w:lang w:val="fr-FR"/>
              </w:rPr>
            </w:pPr>
            <w:proofErr w:type="spellStart"/>
            <w:r w:rsidRPr="00B71635">
              <w:rPr>
                <w:rFonts w:ascii="Arial" w:hAnsi="Arial" w:cs="Arial"/>
                <w:color w:val="000000"/>
                <w:sz w:val="18"/>
                <w:szCs w:val="18"/>
                <w:lang w:val="fr-FR"/>
              </w:rPr>
              <w:t>Nasrollahzadeh</w:t>
            </w:r>
            <w:proofErr w:type="spellEnd"/>
            <w:r w:rsidRPr="00B71635">
              <w:rPr>
                <w:rFonts w:ascii="Arial" w:hAnsi="Arial" w:cs="Arial"/>
                <w:color w:val="000000"/>
                <w:sz w:val="18"/>
                <w:szCs w:val="18"/>
                <w:lang w:val="fr-FR"/>
              </w:rPr>
              <w:t xml:space="preserve"> et </w:t>
            </w:r>
            <w:r>
              <w:rPr>
                <w:rFonts w:ascii="Arial" w:hAnsi="Arial" w:cs="Arial"/>
                <w:color w:val="000000"/>
                <w:sz w:val="18"/>
                <w:szCs w:val="18"/>
                <w:lang w:val="fr-FR"/>
              </w:rPr>
              <w:t>al.,</w:t>
            </w:r>
            <w:r w:rsidRPr="00B71635">
              <w:rPr>
                <w:rFonts w:ascii="Arial" w:hAnsi="Arial" w:cs="Arial"/>
                <w:color w:val="000000"/>
                <w:sz w:val="18"/>
                <w:szCs w:val="18"/>
                <w:lang w:val="fr-FR"/>
              </w:rPr>
              <w:t xml:space="preserve"> 2008</w:t>
            </w:r>
          </w:p>
        </w:tc>
        <w:tc>
          <w:tcPr>
            <w:tcW w:w="917" w:type="dxa"/>
          </w:tcPr>
          <w:p w14:paraId="6D173BEA" w14:textId="77777777" w:rsidR="003006A5" w:rsidRPr="00B71635" w:rsidRDefault="003006A5" w:rsidP="008A4174">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Iran</w:t>
            </w:r>
          </w:p>
        </w:tc>
        <w:tc>
          <w:tcPr>
            <w:tcW w:w="793" w:type="dxa"/>
          </w:tcPr>
          <w:p w14:paraId="2F626816"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HP</w:t>
            </w:r>
          </w:p>
        </w:tc>
        <w:tc>
          <w:tcPr>
            <w:tcW w:w="990" w:type="dxa"/>
            <w:gridSpan w:val="2"/>
          </w:tcPr>
          <w:p w14:paraId="6D3FD301"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300/571</w:t>
            </w:r>
          </w:p>
        </w:tc>
        <w:tc>
          <w:tcPr>
            <w:tcW w:w="900" w:type="dxa"/>
          </w:tcPr>
          <w:p w14:paraId="448EC459"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20/23</w:t>
            </w:r>
          </w:p>
        </w:tc>
        <w:tc>
          <w:tcPr>
            <w:tcW w:w="720" w:type="dxa"/>
          </w:tcPr>
          <w:p w14:paraId="340F7541"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1.70</w:t>
            </w:r>
          </w:p>
        </w:tc>
        <w:tc>
          <w:tcPr>
            <w:tcW w:w="1080" w:type="dxa"/>
          </w:tcPr>
          <w:p w14:paraId="5012202B"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0.92-3.15</w:t>
            </w:r>
          </w:p>
        </w:tc>
      </w:tr>
      <w:tr w:rsidR="003006A5" w:rsidRPr="00B71635" w14:paraId="5678587D" w14:textId="77777777" w:rsidTr="008A4174">
        <w:trPr>
          <w:trHeight w:val="20"/>
        </w:trPr>
        <w:tc>
          <w:tcPr>
            <w:tcW w:w="2160" w:type="dxa"/>
          </w:tcPr>
          <w:p w14:paraId="70F7FEB0" w14:textId="77777777" w:rsidR="003006A5" w:rsidRPr="00B71635" w:rsidRDefault="003006A5" w:rsidP="008A4174">
            <w:pPr>
              <w:autoSpaceDE w:val="0"/>
              <w:autoSpaceDN w:val="0"/>
              <w:adjustRightInd w:val="0"/>
              <w:rPr>
                <w:rFonts w:ascii="Arial" w:hAnsi="Arial" w:cs="Arial"/>
                <w:color w:val="000000"/>
                <w:sz w:val="18"/>
                <w:szCs w:val="18"/>
                <w:lang w:val="fr-FR"/>
              </w:rPr>
            </w:pPr>
            <w:r w:rsidRPr="00B71635">
              <w:rPr>
                <w:rFonts w:ascii="Arial" w:hAnsi="Arial" w:cs="Arial"/>
                <w:color w:val="000000"/>
                <w:sz w:val="18"/>
                <w:szCs w:val="18"/>
                <w:lang w:val="fr-FR"/>
              </w:rPr>
              <w:t xml:space="preserve">Malik et </w:t>
            </w:r>
            <w:r>
              <w:rPr>
                <w:rFonts w:ascii="Arial" w:hAnsi="Arial" w:cs="Arial"/>
                <w:color w:val="000000"/>
                <w:sz w:val="18"/>
                <w:szCs w:val="18"/>
                <w:lang w:val="fr-FR"/>
              </w:rPr>
              <w:t>al.,</w:t>
            </w:r>
            <w:r w:rsidRPr="00B71635">
              <w:rPr>
                <w:rFonts w:ascii="Arial" w:hAnsi="Arial" w:cs="Arial"/>
                <w:color w:val="000000"/>
                <w:sz w:val="18"/>
                <w:szCs w:val="18"/>
                <w:lang w:val="fr-FR"/>
              </w:rPr>
              <w:t xml:space="preserve"> 2010</w:t>
            </w:r>
          </w:p>
        </w:tc>
        <w:tc>
          <w:tcPr>
            <w:tcW w:w="917" w:type="dxa"/>
          </w:tcPr>
          <w:p w14:paraId="74F29ABF" w14:textId="77777777" w:rsidR="003006A5" w:rsidRPr="00B71635" w:rsidRDefault="003006A5" w:rsidP="008A4174">
            <w:pPr>
              <w:autoSpaceDE w:val="0"/>
              <w:autoSpaceDN w:val="0"/>
              <w:adjustRightInd w:val="0"/>
              <w:rPr>
                <w:rFonts w:ascii="Arial" w:hAnsi="Arial" w:cs="Arial"/>
                <w:color w:val="000000"/>
                <w:sz w:val="18"/>
                <w:szCs w:val="18"/>
                <w:lang w:val="fr-FR"/>
              </w:rPr>
            </w:pPr>
            <w:proofErr w:type="spellStart"/>
            <w:r>
              <w:rPr>
                <w:rFonts w:ascii="Arial" w:hAnsi="Arial" w:cs="Arial"/>
                <w:color w:val="000000"/>
                <w:sz w:val="18"/>
                <w:szCs w:val="18"/>
                <w:lang w:val="fr-FR"/>
              </w:rPr>
              <w:t>India</w:t>
            </w:r>
            <w:proofErr w:type="spellEnd"/>
          </w:p>
        </w:tc>
        <w:tc>
          <w:tcPr>
            <w:tcW w:w="793" w:type="dxa"/>
          </w:tcPr>
          <w:p w14:paraId="1A27987C"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HV</w:t>
            </w:r>
          </w:p>
        </w:tc>
        <w:tc>
          <w:tcPr>
            <w:tcW w:w="990" w:type="dxa"/>
            <w:gridSpan w:val="2"/>
          </w:tcPr>
          <w:p w14:paraId="7C1193B3"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135/195</w:t>
            </w:r>
          </w:p>
        </w:tc>
        <w:tc>
          <w:tcPr>
            <w:tcW w:w="900" w:type="dxa"/>
          </w:tcPr>
          <w:p w14:paraId="495C453E"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106/38</w:t>
            </w:r>
          </w:p>
        </w:tc>
        <w:tc>
          <w:tcPr>
            <w:tcW w:w="720" w:type="dxa"/>
          </w:tcPr>
          <w:p w14:paraId="73D9483E"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15.1</w:t>
            </w:r>
          </w:p>
        </w:tc>
        <w:tc>
          <w:tcPr>
            <w:tcW w:w="1080" w:type="dxa"/>
          </w:tcPr>
          <w:p w14:paraId="71B561DD"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8.78-25.98</w:t>
            </w:r>
          </w:p>
        </w:tc>
      </w:tr>
      <w:tr w:rsidR="003006A5" w:rsidRPr="00B71635" w14:paraId="4AF44ACA" w14:textId="77777777" w:rsidTr="008A4174">
        <w:trPr>
          <w:trHeight w:val="20"/>
        </w:trPr>
        <w:tc>
          <w:tcPr>
            <w:tcW w:w="2160" w:type="dxa"/>
          </w:tcPr>
          <w:p w14:paraId="61E7A154" w14:textId="77777777" w:rsidR="003006A5" w:rsidRPr="00B71635" w:rsidRDefault="003006A5" w:rsidP="008A4174">
            <w:pPr>
              <w:autoSpaceDE w:val="0"/>
              <w:autoSpaceDN w:val="0"/>
              <w:adjustRightInd w:val="0"/>
              <w:rPr>
                <w:rFonts w:ascii="Arial" w:hAnsi="Arial" w:cs="Arial"/>
                <w:color w:val="000000"/>
                <w:sz w:val="18"/>
                <w:szCs w:val="18"/>
                <w:lang w:val="fr-FR"/>
              </w:rPr>
            </w:pPr>
            <w:r w:rsidRPr="00B71635">
              <w:rPr>
                <w:rFonts w:ascii="Arial" w:hAnsi="Arial" w:cs="Arial"/>
                <w:color w:val="000000"/>
                <w:sz w:val="18"/>
                <w:szCs w:val="18"/>
                <w:lang w:val="fr-FR"/>
              </w:rPr>
              <w:t xml:space="preserve">Khan et </w:t>
            </w:r>
            <w:r>
              <w:rPr>
                <w:rFonts w:ascii="Arial" w:hAnsi="Arial" w:cs="Arial"/>
                <w:color w:val="000000"/>
                <w:sz w:val="18"/>
                <w:szCs w:val="18"/>
                <w:lang w:val="fr-FR"/>
              </w:rPr>
              <w:t>al.,</w:t>
            </w:r>
            <w:r w:rsidRPr="00B71635">
              <w:rPr>
                <w:rFonts w:ascii="Arial" w:hAnsi="Arial" w:cs="Arial"/>
                <w:color w:val="000000"/>
                <w:sz w:val="18"/>
                <w:szCs w:val="18"/>
                <w:lang w:val="fr-FR"/>
              </w:rPr>
              <w:t xml:space="preserve"> 2011</w:t>
            </w:r>
          </w:p>
        </w:tc>
        <w:tc>
          <w:tcPr>
            <w:tcW w:w="917" w:type="dxa"/>
          </w:tcPr>
          <w:p w14:paraId="0E24FF44" w14:textId="77777777" w:rsidR="003006A5" w:rsidRPr="00B71635" w:rsidRDefault="003006A5" w:rsidP="008A4174">
            <w:pPr>
              <w:autoSpaceDE w:val="0"/>
              <w:autoSpaceDN w:val="0"/>
              <w:adjustRightInd w:val="0"/>
              <w:rPr>
                <w:rFonts w:ascii="Arial" w:hAnsi="Arial" w:cs="Arial"/>
                <w:color w:val="000000"/>
                <w:sz w:val="18"/>
                <w:szCs w:val="18"/>
                <w:lang w:val="fr-FR"/>
              </w:rPr>
            </w:pPr>
            <w:proofErr w:type="spellStart"/>
            <w:r>
              <w:rPr>
                <w:rFonts w:ascii="Arial" w:hAnsi="Arial" w:cs="Arial"/>
                <w:color w:val="000000"/>
                <w:sz w:val="18"/>
                <w:szCs w:val="18"/>
                <w:lang w:val="fr-FR"/>
              </w:rPr>
              <w:t>India</w:t>
            </w:r>
            <w:proofErr w:type="spellEnd"/>
          </w:p>
        </w:tc>
        <w:tc>
          <w:tcPr>
            <w:tcW w:w="793" w:type="dxa"/>
          </w:tcPr>
          <w:p w14:paraId="3C618ED2"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Pop</w:t>
            </w:r>
          </w:p>
        </w:tc>
        <w:tc>
          <w:tcPr>
            <w:tcW w:w="990" w:type="dxa"/>
            <w:gridSpan w:val="2"/>
          </w:tcPr>
          <w:p w14:paraId="05B0F432"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100/100</w:t>
            </w:r>
          </w:p>
        </w:tc>
        <w:tc>
          <w:tcPr>
            <w:tcW w:w="900" w:type="dxa"/>
          </w:tcPr>
          <w:p w14:paraId="7094D6D6"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66/15</w:t>
            </w:r>
          </w:p>
        </w:tc>
        <w:tc>
          <w:tcPr>
            <w:tcW w:w="720" w:type="dxa"/>
          </w:tcPr>
          <w:p w14:paraId="1902C42F"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9.11</w:t>
            </w:r>
          </w:p>
        </w:tc>
        <w:tc>
          <w:tcPr>
            <w:tcW w:w="1080" w:type="dxa"/>
          </w:tcPr>
          <w:p w14:paraId="1A2CFD0B"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4.44-18.72</w:t>
            </w:r>
          </w:p>
        </w:tc>
      </w:tr>
      <w:tr w:rsidR="003006A5" w:rsidRPr="00B71635" w14:paraId="7D174E14" w14:textId="77777777" w:rsidTr="008A4174">
        <w:trPr>
          <w:trHeight w:val="20"/>
        </w:trPr>
        <w:tc>
          <w:tcPr>
            <w:tcW w:w="2160" w:type="dxa"/>
          </w:tcPr>
          <w:p w14:paraId="18E5FF47" w14:textId="77777777" w:rsidR="003006A5" w:rsidRPr="00B71635" w:rsidRDefault="003006A5" w:rsidP="008A4174">
            <w:pPr>
              <w:autoSpaceDE w:val="0"/>
              <w:autoSpaceDN w:val="0"/>
              <w:adjustRightInd w:val="0"/>
              <w:rPr>
                <w:rFonts w:ascii="Arial" w:hAnsi="Arial" w:cs="Arial"/>
                <w:color w:val="000000"/>
                <w:sz w:val="18"/>
                <w:szCs w:val="18"/>
                <w:lang w:val="fr-FR"/>
              </w:rPr>
            </w:pPr>
            <w:r w:rsidRPr="00B71635">
              <w:rPr>
                <w:rFonts w:ascii="Arial" w:hAnsi="Arial" w:cs="Arial"/>
                <w:color w:val="000000"/>
                <w:sz w:val="18"/>
                <w:szCs w:val="18"/>
                <w:lang w:val="fr-FR"/>
              </w:rPr>
              <w:t xml:space="preserve">Dar et </w:t>
            </w:r>
            <w:r>
              <w:rPr>
                <w:rFonts w:ascii="Arial" w:hAnsi="Arial" w:cs="Arial"/>
                <w:color w:val="000000"/>
                <w:sz w:val="18"/>
                <w:szCs w:val="18"/>
                <w:lang w:val="fr-FR"/>
              </w:rPr>
              <w:t>al.,</w:t>
            </w:r>
            <w:r w:rsidRPr="00B71635">
              <w:rPr>
                <w:rFonts w:ascii="Arial" w:hAnsi="Arial" w:cs="Arial"/>
                <w:color w:val="000000"/>
                <w:sz w:val="18"/>
                <w:szCs w:val="18"/>
                <w:lang w:val="fr-FR"/>
              </w:rPr>
              <w:t xml:space="preserve"> 2012</w:t>
            </w:r>
          </w:p>
        </w:tc>
        <w:tc>
          <w:tcPr>
            <w:tcW w:w="917" w:type="dxa"/>
          </w:tcPr>
          <w:p w14:paraId="4A7EFCBE" w14:textId="77777777" w:rsidR="003006A5" w:rsidRPr="00B71635" w:rsidRDefault="003006A5" w:rsidP="008A4174">
            <w:pPr>
              <w:autoSpaceDE w:val="0"/>
              <w:autoSpaceDN w:val="0"/>
              <w:adjustRightInd w:val="0"/>
              <w:rPr>
                <w:rFonts w:ascii="Arial" w:hAnsi="Arial" w:cs="Arial"/>
                <w:color w:val="000000"/>
                <w:sz w:val="18"/>
                <w:szCs w:val="18"/>
                <w:lang w:val="fr-FR"/>
              </w:rPr>
            </w:pPr>
            <w:proofErr w:type="spellStart"/>
            <w:r>
              <w:rPr>
                <w:rFonts w:ascii="Arial" w:hAnsi="Arial" w:cs="Arial"/>
                <w:color w:val="000000"/>
                <w:sz w:val="18"/>
                <w:szCs w:val="18"/>
                <w:lang w:val="fr-FR"/>
              </w:rPr>
              <w:t>India</w:t>
            </w:r>
            <w:proofErr w:type="spellEnd"/>
          </w:p>
        </w:tc>
        <w:tc>
          <w:tcPr>
            <w:tcW w:w="793" w:type="dxa"/>
          </w:tcPr>
          <w:p w14:paraId="04B2D679"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HP</w:t>
            </w:r>
          </w:p>
        </w:tc>
        <w:tc>
          <w:tcPr>
            <w:tcW w:w="990" w:type="dxa"/>
            <w:gridSpan w:val="2"/>
          </w:tcPr>
          <w:p w14:paraId="5BDAA471"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700/1663</w:t>
            </w:r>
          </w:p>
        </w:tc>
        <w:tc>
          <w:tcPr>
            <w:tcW w:w="900" w:type="dxa"/>
          </w:tcPr>
          <w:p w14:paraId="6DE35DA3"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420/699</w:t>
            </w:r>
          </w:p>
        </w:tc>
        <w:tc>
          <w:tcPr>
            <w:tcW w:w="720" w:type="dxa"/>
          </w:tcPr>
          <w:p w14:paraId="468C2735"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2.02</w:t>
            </w:r>
          </w:p>
        </w:tc>
        <w:tc>
          <w:tcPr>
            <w:tcW w:w="1080" w:type="dxa"/>
          </w:tcPr>
          <w:p w14:paraId="09C8F2CD"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sidRPr="00B71635">
              <w:rPr>
                <w:rFonts w:ascii="Arial" w:hAnsi="Arial" w:cs="Arial"/>
                <w:color w:val="000000"/>
                <w:sz w:val="18"/>
                <w:szCs w:val="18"/>
                <w:lang w:val="fr-FR"/>
              </w:rPr>
              <w:t>1.69-2.42</w:t>
            </w:r>
          </w:p>
        </w:tc>
      </w:tr>
      <w:tr w:rsidR="003006A5" w:rsidRPr="00B71635" w14:paraId="0F357749" w14:textId="77777777" w:rsidTr="008A4174">
        <w:trPr>
          <w:trHeight w:val="20"/>
        </w:trPr>
        <w:tc>
          <w:tcPr>
            <w:tcW w:w="2160" w:type="dxa"/>
          </w:tcPr>
          <w:p w14:paraId="021B4A88" w14:textId="77777777" w:rsidR="003006A5" w:rsidRPr="00B71635" w:rsidRDefault="003006A5" w:rsidP="008A4174">
            <w:pPr>
              <w:autoSpaceDE w:val="0"/>
              <w:autoSpaceDN w:val="0"/>
              <w:adjustRightInd w:val="0"/>
              <w:rPr>
                <w:rFonts w:ascii="Arial" w:hAnsi="Arial" w:cs="Arial"/>
                <w:color w:val="000000"/>
                <w:sz w:val="18"/>
                <w:szCs w:val="18"/>
              </w:rPr>
            </w:pPr>
            <w:r w:rsidRPr="00B71635">
              <w:rPr>
                <w:rFonts w:ascii="Arial" w:hAnsi="Arial" w:cs="Arial"/>
                <w:color w:val="000000"/>
                <w:sz w:val="18"/>
                <w:szCs w:val="18"/>
              </w:rPr>
              <w:t xml:space="preserve">Shakeri et </w:t>
            </w:r>
            <w:r>
              <w:rPr>
                <w:rFonts w:ascii="Arial" w:hAnsi="Arial" w:cs="Arial"/>
                <w:color w:val="000000"/>
                <w:sz w:val="18"/>
                <w:szCs w:val="18"/>
              </w:rPr>
              <w:t>al.,</w:t>
            </w:r>
            <w:r w:rsidRPr="00B71635">
              <w:rPr>
                <w:rFonts w:ascii="Arial" w:hAnsi="Arial" w:cs="Arial"/>
                <w:color w:val="000000"/>
                <w:sz w:val="18"/>
                <w:szCs w:val="18"/>
              </w:rPr>
              <w:t xml:space="preserve"> 2012</w:t>
            </w:r>
          </w:p>
        </w:tc>
        <w:tc>
          <w:tcPr>
            <w:tcW w:w="917" w:type="dxa"/>
          </w:tcPr>
          <w:p w14:paraId="6C070138" w14:textId="77777777" w:rsidR="003006A5" w:rsidRPr="00B71635" w:rsidRDefault="003006A5" w:rsidP="008A4174">
            <w:pPr>
              <w:autoSpaceDE w:val="0"/>
              <w:autoSpaceDN w:val="0"/>
              <w:adjustRightInd w:val="0"/>
              <w:rPr>
                <w:rFonts w:ascii="Arial" w:hAnsi="Arial" w:cs="Arial"/>
                <w:color w:val="000000"/>
                <w:sz w:val="18"/>
                <w:szCs w:val="18"/>
              </w:rPr>
            </w:pPr>
            <w:r>
              <w:rPr>
                <w:rFonts w:ascii="Arial" w:hAnsi="Arial" w:cs="Arial"/>
                <w:color w:val="000000"/>
                <w:sz w:val="18"/>
                <w:szCs w:val="18"/>
              </w:rPr>
              <w:t>Iran</w:t>
            </w:r>
          </w:p>
        </w:tc>
        <w:tc>
          <w:tcPr>
            <w:tcW w:w="793" w:type="dxa"/>
          </w:tcPr>
          <w:p w14:paraId="63C6BBED" w14:textId="77777777" w:rsidR="003006A5" w:rsidRPr="00B71635" w:rsidRDefault="003006A5" w:rsidP="008A4174">
            <w:pPr>
              <w:autoSpaceDE w:val="0"/>
              <w:autoSpaceDN w:val="0"/>
              <w:adjustRightInd w:val="0"/>
              <w:jc w:val="center"/>
              <w:rPr>
                <w:rFonts w:ascii="Arial" w:hAnsi="Arial" w:cs="Arial"/>
                <w:color w:val="000000"/>
                <w:sz w:val="18"/>
                <w:szCs w:val="18"/>
              </w:rPr>
            </w:pPr>
            <w:r>
              <w:rPr>
                <w:rFonts w:ascii="Arial" w:hAnsi="Arial" w:cs="Arial"/>
                <w:color w:val="000000"/>
                <w:sz w:val="18"/>
                <w:szCs w:val="18"/>
              </w:rPr>
              <w:t>HP</w:t>
            </w:r>
          </w:p>
        </w:tc>
        <w:tc>
          <w:tcPr>
            <w:tcW w:w="990" w:type="dxa"/>
            <w:gridSpan w:val="2"/>
          </w:tcPr>
          <w:p w14:paraId="5A246A4F" w14:textId="77777777" w:rsidR="003006A5" w:rsidRPr="00B71635" w:rsidRDefault="003006A5" w:rsidP="008A4174">
            <w:pPr>
              <w:autoSpaceDE w:val="0"/>
              <w:autoSpaceDN w:val="0"/>
              <w:adjustRightInd w:val="0"/>
              <w:jc w:val="center"/>
              <w:rPr>
                <w:rFonts w:ascii="Arial" w:hAnsi="Arial" w:cs="Arial"/>
                <w:color w:val="000000"/>
                <w:sz w:val="18"/>
                <w:szCs w:val="18"/>
              </w:rPr>
            </w:pPr>
            <w:r>
              <w:rPr>
                <w:rFonts w:ascii="Arial" w:hAnsi="Arial" w:cs="Arial"/>
                <w:color w:val="000000"/>
                <w:sz w:val="18"/>
                <w:szCs w:val="18"/>
              </w:rPr>
              <w:t>30/260</w:t>
            </w:r>
          </w:p>
        </w:tc>
        <w:tc>
          <w:tcPr>
            <w:tcW w:w="900" w:type="dxa"/>
          </w:tcPr>
          <w:p w14:paraId="420F322A" w14:textId="77777777" w:rsidR="003006A5" w:rsidRPr="00B71635" w:rsidRDefault="003006A5" w:rsidP="008A4174">
            <w:pPr>
              <w:autoSpaceDE w:val="0"/>
              <w:autoSpaceDN w:val="0"/>
              <w:adjustRightInd w:val="0"/>
              <w:jc w:val="center"/>
              <w:rPr>
                <w:rFonts w:ascii="Arial" w:hAnsi="Arial" w:cs="Arial"/>
                <w:color w:val="000000"/>
                <w:sz w:val="18"/>
                <w:szCs w:val="18"/>
              </w:rPr>
            </w:pPr>
            <w:r w:rsidRPr="00B71635">
              <w:rPr>
                <w:rFonts w:ascii="Arial" w:hAnsi="Arial" w:cs="Arial"/>
                <w:color w:val="000000"/>
                <w:sz w:val="18"/>
                <w:szCs w:val="18"/>
              </w:rPr>
              <w:t>11/17</w:t>
            </w:r>
          </w:p>
        </w:tc>
        <w:tc>
          <w:tcPr>
            <w:tcW w:w="720" w:type="dxa"/>
          </w:tcPr>
          <w:p w14:paraId="5C044A73" w14:textId="77777777" w:rsidR="003006A5" w:rsidRPr="00B71635" w:rsidRDefault="003006A5" w:rsidP="008A4174">
            <w:pPr>
              <w:autoSpaceDE w:val="0"/>
              <w:autoSpaceDN w:val="0"/>
              <w:adjustRightInd w:val="0"/>
              <w:jc w:val="center"/>
              <w:rPr>
                <w:rFonts w:ascii="Arial" w:hAnsi="Arial" w:cs="Arial"/>
                <w:color w:val="000000"/>
                <w:sz w:val="18"/>
                <w:szCs w:val="18"/>
              </w:rPr>
            </w:pPr>
            <w:r w:rsidRPr="00B71635">
              <w:rPr>
                <w:rFonts w:ascii="Arial" w:hAnsi="Arial" w:cs="Arial"/>
                <w:color w:val="000000"/>
                <w:sz w:val="18"/>
                <w:szCs w:val="18"/>
              </w:rPr>
              <w:t>1.32</w:t>
            </w:r>
          </w:p>
        </w:tc>
        <w:tc>
          <w:tcPr>
            <w:tcW w:w="1080" w:type="dxa"/>
          </w:tcPr>
          <w:p w14:paraId="2BA90BC6" w14:textId="77777777" w:rsidR="003006A5" w:rsidRPr="00B71635" w:rsidRDefault="003006A5" w:rsidP="008A4174">
            <w:pPr>
              <w:autoSpaceDE w:val="0"/>
              <w:autoSpaceDN w:val="0"/>
              <w:adjustRightInd w:val="0"/>
              <w:jc w:val="center"/>
              <w:rPr>
                <w:rFonts w:ascii="Arial" w:hAnsi="Arial" w:cs="Arial"/>
                <w:color w:val="000000"/>
                <w:sz w:val="18"/>
                <w:szCs w:val="18"/>
              </w:rPr>
            </w:pPr>
            <w:r w:rsidRPr="00B71635">
              <w:rPr>
                <w:rFonts w:ascii="Arial" w:hAnsi="Arial" w:cs="Arial"/>
                <w:color w:val="000000"/>
                <w:sz w:val="18"/>
                <w:szCs w:val="18"/>
              </w:rPr>
              <w:t>0.60-2.91</w:t>
            </w:r>
          </w:p>
        </w:tc>
      </w:tr>
      <w:tr w:rsidR="003006A5" w:rsidRPr="00073559" w14:paraId="08E4E8B7" w14:textId="77777777" w:rsidTr="008A4174">
        <w:trPr>
          <w:trHeight w:val="20"/>
        </w:trPr>
        <w:tc>
          <w:tcPr>
            <w:tcW w:w="2160" w:type="dxa"/>
            <w:tcBorders>
              <w:bottom w:val="single" w:sz="4" w:space="0" w:color="auto"/>
            </w:tcBorders>
          </w:tcPr>
          <w:p w14:paraId="112DE285" w14:textId="77777777" w:rsidR="003006A5" w:rsidRPr="00073559" w:rsidRDefault="003006A5" w:rsidP="008A4174">
            <w:pPr>
              <w:autoSpaceDE w:val="0"/>
              <w:autoSpaceDN w:val="0"/>
              <w:adjustRightInd w:val="0"/>
              <w:rPr>
                <w:rFonts w:ascii="Arial" w:hAnsi="Arial" w:cs="Arial"/>
                <w:i/>
                <w:color w:val="000000"/>
                <w:sz w:val="18"/>
                <w:szCs w:val="18"/>
              </w:rPr>
            </w:pPr>
            <w:r w:rsidRPr="00073559">
              <w:rPr>
                <w:rFonts w:ascii="Arial" w:hAnsi="Arial" w:cs="Arial"/>
                <w:i/>
                <w:color w:val="000000"/>
                <w:sz w:val="18"/>
                <w:szCs w:val="18"/>
              </w:rPr>
              <w:t>Meta-analysis</w:t>
            </w:r>
          </w:p>
        </w:tc>
        <w:tc>
          <w:tcPr>
            <w:tcW w:w="917" w:type="dxa"/>
            <w:tcBorders>
              <w:bottom w:val="single" w:sz="4" w:space="0" w:color="auto"/>
            </w:tcBorders>
          </w:tcPr>
          <w:p w14:paraId="2857C83B" w14:textId="77777777" w:rsidR="003006A5" w:rsidRPr="00073559" w:rsidRDefault="003006A5" w:rsidP="008A4174">
            <w:pPr>
              <w:autoSpaceDE w:val="0"/>
              <w:autoSpaceDN w:val="0"/>
              <w:adjustRightInd w:val="0"/>
              <w:rPr>
                <w:rFonts w:ascii="Arial" w:hAnsi="Arial" w:cs="Arial"/>
                <w:i/>
                <w:color w:val="000000"/>
                <w:sz w:val="18"/>
                <w:szCs w:val="18"/>
              </w:rPr>
            </w:pPr>
          </w:p>
        </w:tc>
        <w:tc>
          <w:tcPr>
            <w:tcW w:w="793" w:type="dxa"/>
            <w:tcBorders>
              <w:bottom w:val="single" w:sz="4" w:space="0" w:color="auto"/>
            </w:tcBorders>
          </w:tcPr>
          <w:p w14:paraId="4AA956F3" w14:textId="77777777" w:rsidR="003006A5" w:rsidRPr="00073559" w:rsidRDefault="003006A5" w:rsidP="008A4174">
            <w:pPr>
              <w:autoSpaceDE w:val="0"/>
              <w:autoSpaceDN w:val="0"/>
              <w:adjustRightInd w:val="0"/>
              <w:jc w:val="center"/>
              <w:rPr>
                <w:rFonts w:ascii="Arial" w:hAnsi="Arial" w:cs="Arial"/>
                <w:i/>
                <w:color w:val="000000"/>
                <w:sz w:val="18"/>
                <w:szCs w:val="18"/>
              </w:rPr>
            </w:pPr>
          </w:p>
        </w:tc>
        <w:tc>
          <w:tcPr>
            <w:tcW w:w="990" w:type="dxa"/>
            <w:gridSpan w:val="2"/>
            <w:tcBorders>
              <w:bottom w:val="single" w:sz="4" w:space="0" w:color="auto"/>
            </w:tcBorders>
          </w:tcPr>
          <w:p w14:paraId="5D79881C" w14:textId="77777777" w:rsidR="003006A5" w:rsidRPr="00073559" w:rsidRDefault="003006A5" w:rsidP="008A4174">
            <w:pPr>
              <w:autoSpaceDE w:val="0"/>
              <w:autoSpaceDN w:val="0"/>
              <w:adjustRightInd w:val="0"/>
              <w:jc w:val="center"/>
              <w:rPr>
                <w:rFonts w:ascii="Arial" w:hAnsi="Arial" w:cs="Arial"/>
                <w:i/>
                <w:color w:val="000000"/>
                <w:sz w:val="18"/>
                <w:szCs w:val="18"/>
              </w:rPr>
            </w:pPr>
          </w:p>
        </w:tc>
        <w:tc>
          <w:tcPr>
            <w:tcW w:w="900" w:type="dxa"/>
            <w:tcBorders>
              <w:bottom w:val="single" w:sz="4" w:space="0" w:color="auto"/>
            </w:tcBorders>
          </w:tcPr>
          <w:p w14:paraId="1A67803A" w14:textId="77777777" w:rsidR="003006A5" w:rsidRPr="00073559" w:rsidRDefault="003006A5" w:rsidP="008A4174">
            <w:pPr>
              <w:autoSpaceDE w:val="0"/>
              <w:autoSpaceDN w:val="0"/>
              <w:adjustRightInd w:val="0"/>
              <w:jc w:val="center"/>
              <w:rPr>
                <w:rFonts w:ascii="Arial" w:hAnsi="Arial" w:cs="Arial"/>
                <w:i/>
                <w:color w:val="000000"/>
                <w:sz w:val="18"/>
                <w:szCs w:val="18"/>
              </w:rPr>
            </w:pPr>
          </w:p>
        </w:tc>
        <w:tc>
          <w:tcPr>
            <w:tcW w:w="720" w:type="dxa"/>
            <w:tcBorders>
              <w:bottom w:val="single" w:sz="4" w:space="0" w:color="auto"/>
            </w:tcBorders>
          </w:tcPr>
          <w:p w14:paraId="0FAEF3AF" w14:textId="77777777" w:rsidR="003006A5" w:rsidRPr="00073559" w:rsidRDefault="003006A5" w:rsidP="008A4174">
            <w:pPr>
              <w:autoSpaceDE w:val="0"/>
              <w:autoSpaceDN w:val="0"/>
              <w:adjustRightInd w:val="0"/>
              <w:jc w:val="center"/>
              <w:rPr>
                <w:rFonts w:ascii="Arial" w:hAnsi="Arial" w:cs="Arial"/>
                <w:i/>
                <w:color w:val="000000"/>
                <w:sz w:val="18"/>
                <w:szCs w:val="18"/>
              </w:rPr>
            </w:pPr>
            <w:r w:rsidRPr="00073559">
              <w:rPr>
                <w:rFonts w:ascii="Arial" w:hAnsi="Arial" w:cs="Arial"/>
                <w:i/>
                <w:color w:val="000000"/>
                <w:sz w:val="18"/>
                <w:szCs w:val="18"/>
              </w:rPr>
              <w:t>3.63</w:t>
            </w:r>
          </w:p>
        </w:tc>
        <w:tc>
          <w:tcPr>
            <w:tcW w:w="1080" w:type="dxa"/>
            <w:tcBorders>
              <w:bottom w:val="single" w:sz="4" w:space="0" w:color="auto"/>
            </w:tcBorders>
          </w:tcPr>
          <w:p w14:paraId="45C74668" w14:textId="77777777" w:rsidR="003006A5" w:rsidRPr="00073559" w:rsidRDefault="003006A5" w:rsidP="008A4174">
            <w:pPr>
              <w:autoSpaceDE w:val="0"/>
              <w:autoSpaceDN w:val="0"/>
              <w:adjustRightInd w:val="0"/>
              <w:jc w:val="center"/>
              <w:rPr>
                <w:rFonts w:ascii="Arial" w:hAnsi="Arial" w:cs="Arial"/>
                <w:i/>
                <w:color w:val="000000"/>
                <w:sz w:val="18"/>
                <w:szCs w:val="18"/>
              </w:rPr>
            </w:pPr>
            <w:r w:rsidRPr="00073559">
              <w:rPr>
                <w:rFonts w:ascii="Arial" w:hAnsi="Arial" w:cs="Arial"/>
                <w:i/>
                <w:color w:val="000000"/>
                <w:sz w:val="18"/>
                <w:szCs w:val="18"/>
              </w:rPr>
              <w:t>1.39-9.44</w:t>
            </w:r>
          </w:p>
        </w:tc>
      </w:tr>
      <w:tr w:rsidR="003006A5" w:rsidRPr="00073559" w14:paraId="03F42781" w14:textId="77777777" w:rsidTr="008A4174">
        <w:trPr>
          <w:trHeight w:val="20"/>
        </w:trPr>
        <w:tc>
          <w:tcPr>
            <w:tcW w:w="2160" w:type="dxa"/>
            <w:tcBorders>
              <w:top w:val="single" w:sz="4" w:space="0" w:color="auto"/>
            </w:tcBorders>
          </w:tcPr>
          <w:p w14:paraId="50C05B4B" w14:textId="77777777" w:rsidR="003006A5" w:rsidRPr="00073559" w:rsidRDefault="003006A5" w:rsidP="008A4174">
            <w:pPr>
              <w:autoSpaceDE w:val="0"/>
              <w:autoSpaceDN w:val="0"/>
              <w:adjustRightInd w:val="0"/>
              <w:rPr>
                <w:rFonts w:ascii="Arial" w:hAnsi="Arial" w:cs="Arial"/>
                <w:b/>
                <w:color w:val="000000"/>
                <w:sz w:val="18"/>
                <w:szCs w:val="18"/>
              </w:rPr>
            </w:pPr>
            <w:r w:rsidRPr="00073559">
              <w:rPr>
                <w:rFonts w:ascii="Arial" w:hAnsi="Arial" w:cs="Arial"/>
                <w:b/>
                <w:color w:val="000000"/>
                <w:sz w:val="18"/>
                <w:szCs w:val="18"/>
              </w:rPr>
              <w:t>Head and neck cancer</w:t>
            </w:r>
          </w:p>
        </w:tc>
        <w:tc>
          <w:tcPr>
            <w:tcW w:w="917" w:type="dxa"/>
            <w:tcBorders>
              <w:top w:val="single" w:sz="4" w:space="0" w:color="auto"/>
            </w:tcBorders>
          </w:tcPr>
          <w:p w14:paraId="7E7B2987" w14:textId="77777777" w:rsidR="003006A5" w:rsidRPr="00073559" w:rsidRDefault="003006A5" w:rsidP="008A4174">
            <w:pPr>
              <w:autoSpaceDE w:val="0"/>
              <w:autoSpaceDN w:val="0"/>
              <w:adjustRightInd w:val="0"/>
              <w:rPr>
                <w:rFonts w:ascii="Arial" w:hAnsi="Arial" w:cs="Arial"/>
                <w:b/>
                <w:color w:val="000000"/>
                <w:sz w:val="18"/>
                <w:szCs w:val="18"/>
              </w:rPr>
            </w:pPr>
          </w:p>
        </w:tc>
        <w:tc>
          <w:tcPr>
            <w:tcW w:w="793" w:type="dxa"/>
            <w:tcBorders>
              <w:top w:val="single" w:sz="4" w:space="0" w:color="auto"/>
            </w:tcBorders>
          </w:tcPr>
          <w:p w14:paraId="55F525B7" w14:textId="77777777" w:rsidR="003006A5" w:rsidRPr="00073559" w:rsidRDefault="003006A5" w:rsidP="008A4174">
            <w:pPr>
              <w:autoSpaceDE w:val="0"/>
              <w:autoSpaceDN w:val="0"/>
              <w:adjustRightInd w:val="0"/>
              <w:jc w:val="center"/>
              <w:rPr>
                <w:rFonts w:ascii="Arial" w:hAnsi="Arial" w:cs="Arial"/>
                <w:b/>
                <w:color w:val="000000"/>
                <w:sz w:val="18"/>
                <w:szCs w:val="18"/>
              </w:rPr>
            </w:pPr>
          </w:p>
        </w:tc>
        <w:tc>
          <w:tcPr>
            <w:tcW w:w="990" w:type="dxa"/>
            <w:gridSpan w:val="2"/>
            <w:tcBorders>
              <w:top w:val="single" w:sz="4" w:space="0" w:color="auto"/>
            </w:tcBorders>
          </w:tcPr>
          <w:p w14:paraId="38B4B91E" w14:textId="77777777" w:rsidR="003006A5" w:rsidRPr="00073559" w:rsidRDefault="003006A5" w:rsidP="008A4174">
            <w:pPr>
              <w:autoSpaceDE w:val="0"/>
              <w:autoSpaceDN w:val="0"/>
              <w:adjustRightInd w:val="0"/>
              <w:jc w:val="center"/>
              <w:rPr>
                <w:rFonts w:ascii="Arial" w:hAnsi="Arial" w:cs="Arial"/>
                <w:b/>
                <w:color w:val="000000"/>
                <w:sz w:val="18"/>
                <w:szCs w:val="18"/>
              </w:rPr>
            </w:pPr>
          </w:p>
        </w:tc>
        <w:tc>
          <w:tcPr>
            <w:tcW w:w="900" w:type="dxa"/>
            <w:tcBorders>
              <w:top w:val="single" w:sz="4" w:space="0" w:color="auto"/>
            </w:tcBorders>
          </w:tcPr>
          <w:p w14:paraId="082E935C" w14:textId="77777777" w:rsidR="003006A5" w:rsidRPr="00073559" w:rsidRDefault="003006A5" w:rsidP="008A4174">
            <w:pPr>
              <w:autoSpaceDE w:val="0"/>
              <w:autoSpaceDN w:val="0"/>
              <w:adjustRightInd w:val="0"/>
              <w:jc w:val="center"/>
              <w:rPr>
                <w:rFonts w:ascii="Arial" w:hAnsi="Arial" w:cs="Arial"/>
                <w:b/>
                <w:color w:val="000000"/>
                <w:sz w:val="18"/>
                <w:szCs w:val="18"/>
              </w:rPr>
            </w:pPr>
          </w:p>
        </w:tc>
        <w:tc>
          <w:tcPr>
            <w:tcW w:w="720" w:type="dxa"/>
            <w:tcBorders>
              <w:top w:val="single" w:sz="4" w:space="0" w:color="auto"/>
            </w:tcBorders>
          </w:tcPr>
          <w:p w14:paraId="7DD7F3A1" w14:textId="77777777" w:rsidR="003006A5" w:rsidRPr="00073559" w:rsidRDefault="003006A5" w:rsidP="008A4174">
            <w:pPr>
              <w:autoSpaceDE w:val="0"/>
              <w:autoSpaceDN w:val="0"/>
              <w:adjustRightInd w:val="0"/>
              <w:jc w:val="center"/>
              <w:rPr>
                <w:rFonts w:ascii="Arial" w:hAnsi="Arial" w:cs="Arial"/>
                <w:b/>
                <w:color w:val="000000"/>
                <w:sz w:val="18"/>
                <w:szCs w:val="18"/>
              </w:rPr>
            </w:pPr>
          </w:p>
        </w:tc>
        <w:tc>
          <w:tcPr>
            <w:tcW w:w="1080" w:type="dxa"/>
            <w:tcBorders>
              <w:top w:val="single" w:sz="4" w:space="0" w:color="auto"/>
            </w:tcBorders>
          </w:tcPr>
          <w:p w14:paraId="60AA6511" w14:textId="77777777" w:rsidR="003006A5" w:rsidRPr="00073559" w:rsidRDefault="003006A5" w:rsidP="008A4174">
            <w:pPr>
              <w:autoSpaceDE w:val="0"/>
              <w:autoSpaceDN w:val="0"/>
              <w:adjustRightInd w:val="0"/>
              <w:jc w:val="center"/>
              <w:rPr>
                <w:rFonts w:ascii="Arial" w:hAnsi="Arial" w:cs="Arial"/>
                <w:b/>
                <w:color w:val="000000"/>
                <w:sz w:val="18"/>
                <w:szCs w:val="18"/>
              </w:rPr>
            </w:pPr>
          </w:p>
        </w:tc>
      </w:tr>
      <w:tr w:rsidR="003006A5" w:rsidRPr="00B71635" w14:paraId="4A321976" w14:textId="77777777" w:rsidTr="008A4174">
        <w:trPr>
          <w:trHeight w:val="20"/>
        </w:trPr>
        <w:tc>
          <w:tcPr>
            <w:tcW w:w="2160" w:type="dxa"/>
            <w:tcBorders>
              <w:bottom w:val="single" w:sz="4" w:space="0" w:color="auto"/>
            </w:tcBorders>
          </w:tcPr>
          <w:p w14:paraId="489C29AC" w14:textId="77777777" w:rsidR="003006A5" w:rsidRPr="00B71635" w:rsidRDefault="003006A5" w:rsidP="008A4174">
            <w:pPr>
              <w:autoSpaceDE w:val="0"/>
              <w:autoSpaceDN w:val="0"/>
              <w:adjustRightInd w:val="0"/>
              <w:rPr>
                <w:rFonts w:ascii="Arial" w:hAnsi="Arial" w:cs="Arial"/>
                <w:color w:val="000000"/>
                <w:sz w:val="18"/>
                <w:szCs w:val="18"/>
                <w:lang w:val="fr-FR"/>
              </w:rPr>
            </w:pPr>
            <w:proofErr w:type="spellStart"/>
            <w:r>
              <w:rPr>
                <w:rFonts w:ascii="Arial" w:hAnsi="Arial" w:cs="Arial"/>
                <w:color w:val="000000"/>
                <w:sz w:val="18"/>
                <w:szCs w:val="18"/>
                <w:lang w:val="fr-FR"/>
              </w:rPr>
              <w:t>Khlifi</w:t>
            </w:r>
            <w:proofErr w:type="spellEnd"/>
            <w:r>
              <w:rPr>
                <w:rFonts w:ascii="Arial" w:hAnsi="Arial" w:cs="Arial"/>
                <w:color w:val="000000"/>
                <w:sz w:val="18"/>
                <w:szCs w:val="18"/>
                <w:lang w:val="fr-FR"/>
              </w:rPr>
              <w:t xml:space="preserve"> et al., 2013</w:t>
            </w:r>
          </w:p>
        </w:tc>
        <w:tc>
          <w:tcPr>
            <w:tcW w:w="917" w:type="dxa"/>
            <w:tcBorders>
              <w:bottom w:val="single" w:sz="4" w:space="0" w:color="auto"/>
            </w:tcBorders>
          </w:tcPr>
          <w:p w14:paraId="29F792F6" w14:textId="77777777" w:rsidR="003006A5" w:rsidRPr="00B71635" w:rsidRDefault="003006A5" w:rsidP="008A4174">
            <w:pPr>
              <w:autoSpaceDE w:val="0"/>
              <w:autoSpaceDN w:val="0"/>
              <w:adjustRightInd w:val="0"/>
              <w:rPr>
                <w:rFonts w:ascii="Arial" w:hAnsi="Arial" w:cs="Arial"/>
                <w:color w:val="000000"/>
                <w:sz w:val="18"/>
                <w:szCs w:val="18"/>
                <w:lang w:val="fr-FR"/>
              </w:rPr>
            </w:pPr>
            <w:proofErr w:type="spellStart"/>
            <w:r>
              <w:rPr>
                <w:rFonts w:ascii="Arial" w:hAnsi="Arial" w:cs="Arial"/>
                <w:color w:val="000000"/>
                <w:sz w:val="18"/>
                <w:szCs w:val="18"/>
                <w:lang w:val="fr-FR"/>
              </w:rPr>
              <w:t>Tunisia</w:t>
            </w:r>
            <w:proofErr w:type="spellEnd"/>
          </w:p>
        </w:tc>
        <w:tc>
          <w:tcPr>
            <w:tcW w:w="793" w:type="dxa"/>
            <w:tcBorders>
              <w:bottom w:val="single" w:sz="4" w:space="0" w:color="auto"/>
            </w:tcBorders>
          </w:tcPr>
          <w:p w14:paraId="19CDBB4A"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HP</w:t>
            </w:r>
          </w:p>
        </w:tc>
        <w:tc>
          <w:tcPr>
            <w:tcW w:w="990" w:type="dxa"/>
            <w:gridSpan w:val="2"/>
            <w:tcBorders>
              <w:bottom w:val="single" w:sz="4" w:space="0" w:color="auto"/>
            </w:tcBorders>
          </w:tcPr>
          <w:p w14:paraId="0496CA25"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169/351</w:t>
            </w:r>
          </w:p>
        </w:tc>
        <w:tc>
          <w:tcPr>
            <w:tcW w:w="900" w:type="dxa"/>
            <w:tcBorders>
              <w:bottom w:val="single" w:sz="4" w:space="0" w:color="auto"/>
            </w:tcBorders>
          </w:tcPr>
          <w:p w14:paraId="27D5B320"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40/37</w:t>
            </w:r>
          </w:p>
        </w:tc>
        <w:tc>
          <w:tcPr>
            <w:tcW w:w="720" w:type="dxa"/>
            <w:tcBorders>
              <w:bottom w:val="single" w:sz="4" w:space="0" w:color="auto"/>
            </w:tcBorders>
          </w:tcPr>
          <w:p w14:paraId="4C45A99E"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2.63</w:t>
            </w:r>
          </w:p>
        </w:tc>
        <w:tc>
          <w:tcPr>
            <w:tcW w:w="1080" w:type="dxa"/>
            <w:tcBorders>
              <w:bottom w:val="single" w:sz="4" w:space="0" w:color="auto"/>
            </w:tcBorders>
          </w:tcPr>
          <w:p w14:paraId="2788E7D2" w14:textId="77777777" w:rsidR="003006A5" w:rsidRPr="00B71635" w:rsidRDefault="003006A5" w:rsidP="008A4174">
            <w:pPr>
              <w:autoSpaceDE w:val="0"/>
              <w:autoSpaceDN w:val="0"/>
              <w:adjustRightInd w:val="0"/>
              <w:jc w:val="center"/>
              <w:rPr>
                <w:rFonts w:ascii="Arial" w:hAnsi="Arial" w:cs="Arial"/>
                <w:color w:val="000000"/>
                <w:sz w:val="18"/>
                <w:szCs w:val="18"/>
                <w:lang w:val="fr-FR"/>
              </w:rPr>
            </w:pPr>
            <w:r>
              <w:rPr>
                <w:rFonts w:ascii="Arial" w:hAnsi="Arial" w:cs="Arial"/>
                <w:color w:val="000000"/>
                <w:sz w:val="18"/>
                <w:szCs w:val="18"/>
                <w:lang w:val="fr-FR"/>
              </w:rPr>
              <w:t>1.61-4.30</w:t>
            </w:r>
          </w:p>
        </w:tc>
      </w:tr>
      <w:tr w:rsidR="003006A5" w:rsidRPr="00B71635" w14:paraId="365B0965" w14:textId="77777777" w:rsidTr="008A4174">
        <w:trPr>
          <w:trHeight w:val="20"/>
        </w:trPr>
        <w:tc>
          <w:tcPr>
            <w:tcW w:w="2160" w:type="dxa"/>
            <w:tcBorders>
              <w:top w:val="single" w:sz="4" w:space="0" w:color="auto"/>
            </w:tcBorders>
          </w:tcPr>
          <w:p w14:paraId="7F07AA37" w14:textId="77777777" w:rsidR="003006A5" w:rsidRPr="00073559" w:rsidRDefault="003006A5" w:rsidP="008A4174">
            <w:pPr>
              <w:autoSpaceDE w:val="0"/>
              <w:autoSpaceDN w:val="0"/>
              <w:adjustRightInd w:val="0"/>
              <w:rPr>
                <w:rFonts w:ascii="Arial" w:hAnsi="Arial" w:cs="Arial"/>
                <w:b/>
                <w:color w:val="000000"/>
                <w:sz w:val="18"/>
                <w:szCs w:val="18"/>
              </w:rPr>
            </w:pPr>
            <w:r w:rsidRPr="00073559">
              <w:rPr>
                <w:rFonts w:ascii="Arial" w:hAnsi="Arial" w:cs="Arial"/>
                <w:b/>
                <w:color w:val="000000"/>
                <w:sz w:val="18"/>
                <w:szCs w:val="18"/>
              </w:rPr>
              <w:t>Bladder cancer</w:t>
            </w:r>
          </w:p>
        </w:tc>
        <w:tc>
          <w:tcPr>
            <w:tcW w:w="917" w:type="dxa"/>
            <w:tcBorders>
              <w:top w:val="single" w:sz="4" w:space="0" w:color="auto"/>
            </w:tcBorders>
          </w:tcPr>
          <w:p w14:paraId="641A04D4" w14:textId="77777777" w:rsidR="003006A5" w:rsidRPr="00B71635" w:rsidRDefault="003006A5" w:rsidP="008A4174">
            <w:pPr>
              <w:autoSpaceDE w:val="0"/>
              <w:autoSpaceDN w:val="0"/>
              <w:adjustRightInd w:val="0"/>
              <w:rPr>
                <w:rFonts w:ascii="Arial" w:hAnsi="Arial" w:cs="Arial"/>
                <w:color w:val="000000"/>
                <w:sz w:val="18"/>
                <w:szCs w:val="18"/>
              </w:rPr>
            </w:pPr>
          </w:p>
        </w:tc>
        <w:tc>
          <w:tcPr>
            <w:tcW w:w="793" w:type="dxa"/>
            <w:tcBorders>
              <w:top w:val="single" w:sz="4" w:space="0" w:color="auto"/>
            </w:tcBorders>
          </w:tcPr>
          <w:p w14:paraId="553814CD"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990" w:type="dxa"/>
            <w:gridSpan w:val="2"/>
            <w:tcBorders>
              <w:top w:val="single" w:sz="4" w:space="0" w:color="auto"/>
            </w:tcBorders>
          </w:tcPr>
          <w:p w14:paraId="6382E9DE"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900" w:type="dxa"/>
            <w:tcBorders>
              <w:top w:val="single" w:sz="4" w:space="0" w:color="auto"/>
            </w:tcBorders>
          </w:tcPr>
          <w:p w14:paraId="3052CAFB"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720" w:type="dxa"/>
            <w:tcBorders>
              <w:top w:val="single" w:sz="4" w:space="0" w:color="auto"/>
            </w:tcBorders>
          </w:tcPr>
          <w:p w14:paraId="7341D726" w14:textId="77777777" w:rsidR="003006A5" w:rsidRPr="00B71635" w:rsidRDefault="003006A5" w:rsidP="008A4174">
            <w:pPr>
              <w:autoSpaceDE w:val="0"/>
              <w:autoSpaceDN w:val="0"/>
              <w:adjustRightInd w:val="0"/>
              <w:jc w:val="center"/>
              <w:rPr>
                <w:rFonts w:ascii="Arial" w:hAnsi="Arial" w:cs="Arial"/>
                <w:color w:val="000000"/>
                <w:sz w:val="18"/>
                <w:szCs w:val="18"/>
              </w:rPr>
            </w:pPr>
          </w:p>
        </w:tc>
        <w:tc>
          <w:tcPr>
            <w:tcW w:w="1080" w:type="dxa"/>
            <w:tcBorders>
              <w:top w:val="single" w:sz="4" w:space="0" w:color="auto"/>
            </w:tcBorders>
          </w:tcPr>
          <w:p w14:paraId="3FE7B016" w14:textId="77777777" w:rsidR="003006A5" w:rsidRPr="00B71635" w:rsidRDefault="003006A5" w:rsidP="008A4174">
            <w:pPr>
              <w:autoSpaceDE w:val="0"/>
              <w:autoSpaceDN w:val="0"/>
              <w:adjustRightInd w:val="0"/>
              <w:jc w:val="center"/>
              <w:rPr>
                <w:rFonts w:ascii="Arial" w:hAnsi="Arial" w:cs="Arial"/>
                <w:color w:val="000000"/>
                <w:sz w:val="18"/>
                <w:szCs w:val="18"/>
              </w:rPr>
            </w:pPr>
          </w:p>
        </w:tc>
      </w:tr>
      <w:tr w:rsidR="003006A5" w:rsidRPr="00B71635" w14:paraId="0D8F34F2" w14:textId="77777777" w:rsidTr="008A4174">
        <w:trPr>
          <w:trHeight w:val="20"/>
        </w:trPr>
        <w:tc>
          <w:tcPr>
            <w:tcW w:w="2160" w:type="dxa"/>
            <w:tcBorders>
              <w:bottom w:val="single" w:sz="4" w:space="0" w:color="auto"/>
            </w:tcBorders>
          </w:tcPr>
          <w:p w14:paraId="5D843384" w14:textId="77777777" w:rsidR="003006A5" w:rsidRPr="00B71635" w:rsidRDefault="003006A5" w:rsidP="008A4174">
            <w:pPr>
              <w:rPr>
                <w:rFonts w:ascii="Arial" w:hAnsi="Arial" w:cs="Arial"/>
                <w:color w:val="000000"/>
                <w:sz w:val="18"/>
                <w:szCs w:val="18"/>
              </w:rPr>
            </w:pPr>
            <w:r w:rsidRPr="00B71635">
              <w:rPr>
                <w:rFonts w:ascii="Arial" w:hAnsi="Arial" w:cs="Arial"/>
                <w:color w:val="000000"/>
                <w:sz w:val="18"/>
                <w:szCs w:val="18"/>
              </w:rPr>
              <w:t xml:space="preserve">Bedwani et </w:t>
            </w:r>
            <w:r>
              <w:rPr>
                <w:rFonts w:ascii="Arial" w:hAnsi="Arial" w:cs="Arial"/>
                <w:color w:val="000000"/>
                <w:sz w:val="18"/>
                <w:szCs w:val="18"/>
              </w:rPr>
              <w:t>al.,</w:t>
            </w:r>
            <w:r w:rsidRPr="00B71635">
              <w:rPr>
                <w:rFonts w:ascii="Arial" w:hAnsi="Arial" w:cs="Arial"/>
                <w:color w:val="000000"/>
                <w:sz w:val="18"/>
                <w:szCs w:val="18"/>
              </w:rPr>
              <w:t xml:space="preserve"> 1997</w:t>
            </w:r>
          </w:p>
        </w:tc>
        <w:tc>
          <w:tcPr>
            <w:tcW w:w="917" w:type="dxa"/>
            <w:tcBorders>
              <w:bottom w:val="single" w:sz="4" w:space="0" w:color="auto"/>
            </w:tcBorders>
          </w:tcPr>
          <w:p w14:paraId="33B94843" w14:textId="77777777" w:rsidR="003006A5" w:rsidRPr="00B71635" w:rsidRDefault="003006A5" w:rsidP="008A4174">
            <w:pPr>
              <w:rPr>
                <w:rFonts w:ascii="Arial" w:hAnsi="Arial" w:cs="Arial"/>
                <w:color w:val="000000"/>
                <w:sz w:val="18"/>
                <w:szCs w:val="18"/>
              </w:rPr>
            </w:pPr>
            <w:r>
              <w:rPr>
                <w:rFonts w:ascii="Arial" w:hAnsi="Arial" w:cs="Arial"/>
                <w:color w:val="000000"/>
                <w:sz w:val="18"/>
                <w:szCs w:val="18"/>
              </w:rPr>
              <w:t>Egypt</w:t>
            </w:r>
          </w:p>
        </w:tc>
        <w:tc>
          <w:tcPr>
            <w:tcW w:w="793" w:type="dxa"/>
            <w:tcBorders>
              <w:bottom w:val="single" w:sz="4" w:space="0" w:color="auto"/>
            </w:tcBorders>
          </w:tcPr>
          <w:p w14:paraId="66160F19" w14:textId="77777777" w:rsidR="003006A5" w:rsidRPr="00B71635" w:rsidRDefault="003006A5" w:rsidP="008A4174">
            <w:pPr>
              <w:jc w:val="center"/>
              <w:rPr>
                <w:rFonts w:ascii="Arial" w:hAnsi="Arial" w:cs="Arial"/>
                <w:color w:val="000000"/>
                <w:sz w:val="18"/>
                <w:szCs w:val="18"/>
              </w:rPr>
            </w:pPr>
            <w:r>
              <w:rPr>
                <w:rFonts w:ascii="Arial" w:hAnsi="Arial" w:cs="Arial"/>
                <w:color w:val="000000"/>
                <w:sz w:val="18"/>
                <w:szCs w:val="18"/>
              </w:rPr>
              <w:t>HP</w:t>
            </w:r>
          </w:p>
        </w:tc>
        <w:tc>
          <w:tcPr>
            <w:tcW w:w="990" w:type="dxa"/>
            <w:gridSpan w:val="2"/>
            <w:tcBorders>
              <w:bottom w:val="single" w:sz="4" w:space="0" w:color="auto"/>
            </w:tcBorders>
          </w:tcPr>
          <w:p w14:paraId="774E2D56" w14:textId="77777777" w:rsidR="003006A5" w:rsidRPr="00B71635" w:rsidRDefault="003006A5" w:rsidP="008A4174">
            <w:pPr>
              <w:jc w:val="center"/>
              <w:rPr>
                <w:rFonts w:ascii="Arial" w:hAnsi="Arial" w:cs="Arial"/>
                <w:color w:val="000000"/>
                <w:sz w:val="18"/>
                <w:szCs w:val="18"/>
              </w:rPr>
            </w:pPr>
            <w:r>
              <w:rPr>
                <w:rFonts w:ascii="Arial" w:hAnsi="Arial" w:cs="Arial"/>
                <w:color w:val="000000"/>
                <w:sz w:val="18"/>
                <w:szCs w:val="18"/>
              </w:rPr>
              <w:t>309/613</w:t>
            </w:r>
          </w:p>
        </w:tc>
        <w:tc>
          <w:tcPr>
            <w:tcW w:w="900" w:type="dxa"/>
            <w:tcBorders>
              <w:bottom w:val="single" w:sz="4" w:space="0" w:color="auto"/>
            </w:tcBorders>
          </w:tcPr>
          <w:p w14:paraId="0D2E34BB" w14:textId="77777777" w:rsidR="003006A5" w:rsidRPr="00B71635" w:rsidRDefault="003006A5" w:rsidP="008A4174">
            <w:pPr>
              <w:jc w:val="center"/>
              <w:rPr>
                <w:rFonts w:ascii="Arial" w:hAnsi="Arial" w:cs="Arial"/>
                <w:color w:val="000000"/>
                <w:sz w:val="18"/>
                <w:szCs w:val="18"/>
              </w:rPr>
            </w:pPr>
            <w:r w:rsidRPr="00B71635">
              <w:rPr>
                <w:rFonts w:ascii="Arial" w:hAnsi="Arial" w:cs="Arial"/>
                <w:color w:val="000000"/>
                <w:sz w:val="18"/>
                <w:szCs w:val="18"/>
              </w:rPr>
              <w:t>12/24</w:t>
            </w:r>
          </w:p>
        </w:tc>
        <w:tc>
          <w:tcPr>
            <w:tcW w:w="720" w:type="dxa"/>
            <w:tcBorders>
              <w:bottom w:val="single" w:sz="4" w:space="0" w:color="auto"/>
            </w:tcBorders>
          </w:tcPr>
          <w:p w14:paraId="40A9A068" w14:textId="77777777" w:rsidR="003006A5" w:rsidRPr="00B71635" w:rsidRDefault="003006A5" w:rsidP="008A4174">
            <w:pPr>
              <w:jc w:val="center"/>
              <w:rPr>
                <w:rFonts w:ascii="Arial" w:hAnsi="Arial" w:cs="Arial"/>
                <w:color w:val="000000"/>
                <w:sz w:val="18"/>
                <w:szCs w:val="18"/>
              </w:rPr>
            </w:pPr>
            <w:r w:rsidRPr="00B71635">
              <w:rPr>
                <w:rFonts w:ascii="Arial" w:hAnsi="Arial" w:cs="Arial"/>
                <w:color w:val="000000"/>
                <w:sz w:val="18"/>
                <w:szCs w:val="18"/>
              </w:rPr>
              <w:t>2.00</w:t>
            </w:r>
          </w:p>
        </w:tc>
        <w:tc>
          <w:tcPr>
            <w:tcW w:w="1080" w:type="dxa"/>
            <w:tcBorders>
              <w:bottom w:val="single" w:sz="4" w:space="0" w:color="auto"/>
            </w:tcBorders>
          </w:tcPr>
          <w:p w14:paraId="467B91A5" w14:textId="77777777" w:rsidR="003006A5" w:rsidRPr="00B71635" w:rsidRDefault="003006A5" w:rsidP="008A4174">
            <w:pPr>
              <w:jc w:val="center"/>
              <w:rPr>
                <w:rFonts w:ascii="Arial" w:hAnsi="Arial" w:cs="Arial"/>
                <w:color w:val="000000"/>
                <w:sz w:val="18"/>
                <w:szCs w:val="18"/>
              </w:rPr>
            </w:pPr>
            <w:r w:rsidRPr="00B71635">
              <w:rPr>
                <w:rFonts w:ascii="Arial" w:hAnsi="Arial" w:cs="Arial"/>
                <w:color w:val="000000"/>
                <w:sz w:val="18"/>
                <w:szCs w:val="18"/>
              </w:rPr>
              <w:t>0.81-4.96</w:t>
            </w:r>
          </w:p>
        </w:tc>
      </w:tr>
      <w:tr w:rsidR="003006A5" w:rsidRPr="00DD7FA2" w14:paraId="6BE4B72E" w14:textId="77777777" w:rsidTr="008A4174">
        <w:tc>
          <w:tcPr>
            <w:tcW w:w="7560" w:type="dxa"/>
            <w:gridSpan w:val="8"/>
            <w:tcBorders>
              <w:top w:val="single" w:sz="4" w:space="0" w:color="auto"/>
            </w:tcBorders>
            <w:vAlign w:val="center"/>
          </w:tcPr>
          <w:p w14:paraId="49EEDEC3" w14:textId="77777777" w:rsidR="003006A5" w:rsidRPr="00217BC0" w:rsidRDefault="003006A5" w:rsidP="008A4174">
            <w:pPr>
              <w:rPr>
                <w:rFonts w:ascii="Arial" w:hAnsi="Arial" w:cs="Arial"/>
                <w:color w:val="000000"/>
                <w:sz w:val="18"/>
                <w:szCs w:val="18"/>
                <w:lang w:val="en-US"/>
              </w:rPr>
            </w:pPr>
            <w:proofErr w:type="gramStart"/>
            <w:r w:rsidRPr="00217BC0">
              <w:rPr>
                <w:rFonts w:ascii="Arial" w:hAnsi="Arial" w:cs="Arial"/>
                <w:color w:val="000000"/>
                <w:sz w:val="18"/>
                <w:szCs w:val="18"/>
                <w:lang w:val="en-US"/>
              </w:rPr>
              <w:t>OR,</w:t>
            </w:r>
            <w:proofErr w:type="gramEnd"/>
            <w:r w:rsidRPr="00217BC0">
              <w:rPr>
                <w:rFonts w:ascii="Arial" w:hAnsi="Arial" w:cs="Arial"/>
                <w:color w:val="000000"/>
                <w:sz w:val="18"/>
                <w:szCs w:val="18"/>
                <w:lang w:val="en-US"/>
              </w:rPr>
              <w:t xml:space="preserve"> odds ratio; CI, confidence interval; HV, hospital visitors; R, relatives; Pop, population-based controls; HP, hospital patients</w:t>
            </w:r>
          </w:p>
        </w:tc>
      </w:tr>
    </w:tbl>
    <w:p w14:paraId="40543F78" w14:textId="77777777" w:rsidR="003006A5" w:rsidRPr="00217BC0" w:rsidRDefault="003006A5" w:rsidP="008A4174">
      <w:pPr>
        <w:autoSpaceDE w:val="0"/>
        <w:autoSpaceDN w:val="0"/>
        <w:adjustRightInd w:val="0"/>
        <w:jc w:val="both"/>
        <w:rPr>
          <w:rFonts w:ascii="Arial" w:hAnsi="Arial" w:cs="Arial"/>
          <w:lang w:val="en-US"/>
        </w:rPr>
      </w:pPr>
      <w:r w:rsidRPr="00217BC0">
        <w:rPr>
          <w:rFonts w:ascii="Arial" w:hAnsi="Arial" w:cs="Arial"/>
          <w:lang w:val="en-US"/>
        </w:rPr>
        <w:t xml:space="preserve">Consistent with </w:t>
      </w:r>
      <w:proofErr w:type="gramStart"/>
      <w:r w:rsidRPr="00217BC0">
        <w:rPr>
          <w:rFonts w:ascii="Arial" w:hAnsi="Arial" w:cs="Arial"/>
          <w:lang w:val="en-US"/>
        </w:rPr>
        <w:t>above</w:t>
      </w:r>
      <w:proofErr w:type="gramEnd"/>
      <w:r w:rsidRPr="00217BC0">
        <w:rPr>
          <w:rFonts w:ascii="Arial" w:hAnsi="Arial" w:cs="Arial"/>
          <w:lang w:val="en-US"/>
        </w:rPr>
        <w:t xml:space="preserve"> findings, results from limited available </w:t>
      </w:r>
      <w:proofErr w:type="spellStart"/>
      <w:r w:rsidRPr="00217BC0">
        <w:rPr>
          <w:rFonts w:ascii="Arial" w:hAnsi="Arial" w:cs="Arial"/>
          <w:lang w:val="en-US"/>
        </w:rPr>
        <w:t>epide-miological</w:t>
      </w:r>
      <w:proofErr w:type="spellEnd"/>
      <w:r w:rsidRPr="00217BC0">
        <w:rPr>
          <w:rFonts w:ascii="Arial" w:hAnsi="Arial" w:cs="Arial"/>
          <w:lang w:val="en-US"/>
        </w:rPr>
        <w:t xml:space="preserve"> studies </w:t>
      </w:r>
      <w:proofErr w:type="spellStart"/>
      <w:r w:rsidRPr="00217BC0">
        <w:rPr>
          <w:rFonts w:ascii="Arial" w:hAnsi="Arial" w:cs="Arial"/>
          <w:lang w:val="en-US"/>
        </w:rPr>
        <w:t>condu-cted</w:t>
      </w:r>
      <w:proofErr w:type="spellEnd"/>
      <w:r w:rsidRPr="00217BC0">
        <w:rPr>
          <w:rFonts w:ascii="Arial" w:hAnsi="Arial" w:cs="Arial"/>
          <w:lang w:val="en-US"/>
        </w:rPr>
        <w:t xml:space="preserve"> in populations where hookah smoking has been prevalent for decades indicate harmful health effects. Current evidence suggests an association between hookah use and </w:t>
      </w:r>
      <w:proofErr w:type="spellStart"/>
      <w:r w:rsidRPr="00217BC0">
        <w:rPr>
          <w:rFonts w:ascii="Arial" w:hAnsi="Arial" w:cs="Arial"/>
          <w:lang w:val="en-US"/>
        </w:rPr>
        <w:t>respi-ratory</w:t>
      </w:r>
      <w:proofErr w:type="spellEnd"/>
      <w:r w:rsidRPr="00217BC0">
        <w:rPr>
          <w:rFonts w:ascii="Arial" w:hAnsi="Arial" w:cs="Arial"/>
          <w:lang w:val="en-US"/>
        </w:rPr>
        <w:t xml:space="preserve"> diseases, low </w:t>
      </w:r>
      <w:proofErr w:type="gramStart"/>
      <w:r w:rsidRPr="00217BC0">
        <w:rPr>
          <w:rFonts w:ascii="Arial" w:hAnsi="Arial" w:cs="Arial"/>
          <w:lang w:val="en-US"/>
        </w:rPr>
        <w:t>birth-weight</w:t>
      </w:r>
      <w:proofErr w:type="gramEnd"/>
      <w:r w:rsidRPr="00217BC0">
        <w:rPr>
          <w:rFonts w:ascii="Arial" w:hAnsi="Arial" w:cs="Arial"/>
          <w:lang w:val="en-US"/>
        </w:rPr>
        <w:t xml:space="preserve">, and periodontal disease [Akl et al., 2010]. In </w:t>
      </w:r>
      <w:proofErr w:type="spellStart"/>
      <w:proofErr w:type="gramStart"/>
      <w:r w:rsidRPr="00217BC0">
        <w:rPr>
          <w:rFonts w:ascii="Arial" w:hAnsi="Arial" w:cs="Arial"/>
          <w:lang w:val="en-US"/>
        </w:rPr>
        <w:t>addi-tion</w:t>
      </w:r>
      <w:proofErr w:type="spellEnd"/>
      <w:proofErr w:type="gramEnd"/>
      <w:r w:rsidRPr="00217BC0">
        <w:rPr>
          <w:rFonts w:ascii="Arial" w:hAnsi="Arial" w:cs="Arial"/>
          <w:lang w:val="en-US"/>
        </w:rPr>
        <w:t>, some data suggest that hookah smoking may increase the risk of spreading infectious diseases, such as tuberculosis, hepatitis and herpes [</w:t>
      </w:r>
      <w:proofErr w:type="spellStart"/>
      <w:r w:rsidRPr="00217BC0">
        <w:rPr>
          <w:rFonts w:ascii="Arial" w:hAnsi="Arial" w:cs="Arial"/>
          <w:color w:val="000000"/>
          <w:lang w:val="en-US"/>
        </w:rPr>
        <w:t>Urkin</w:t>
      </w:r>
      <w:proofErr w:type="spellEnd"/>
      <w:r w:rsidRPr="00217BC0">
        <w:rPr>
          <w:rFonts w:ascii="Arial" w:hAnsi="Arial" w:cs="Arial"/>
          <w:color w:val="000000"/>
          <w:lang w:val="en-US"/>
        </w:rPr>
        <w:t xml:space="preserve"> et al., 2006; </w:t>
      </w:r>
      <w:proofErr w:type="spellStart"/>
      <w:r w:rsidRPr="00217BC0">
        <w:rPr>
          <w:rFonts w:ascii="Arial" w:hAnsi="Arial" w:cs="Arial"/>
          <w:color w:val="000000"/>
          <w:lang w:val="en-US"/>
        </w:rPr>
        <w:t>Knishkowy</w:t>
      </w:r>
      <w:proofErr w:type="spellEnd"/>
      <w:r w:rsidRPr="00217BC0">
        <w:rPr>
          <w:rFonts w:ascii="Arial" w:hAnsi="Arial" w:cs="Arial"/>
          <w:color w:val="000000"/>
          <w:lang w:val="en-US"/>
        </w:rPr>
        <w:t xml:space="preserve"> &amp; Amitai, 2005]. </w:t>
      </w:r>
      <w:r w:rsidRPr="00217BC0">
        <w:rPr>
          <w:rFonts w:ascii="Arial" w:hAnsi="Arial" w:cs="Arial"/>
          <w:lang w:val="en-US"/>
        </w:rPr>
        <w:t>Associations between hookah smoking and cancers of the head and neck, esophagus, lung and bladder cancer have been reported in a few studies (</w:t>
      </w:r>
      <w:r w:rsidRPr="00217BC0">
        <w:rPr>
          <w:rFonts w:ascii="Arial" w:hAnsi="Arial" w:cs="Arial"/>
          <w:b/>
          <w:lang w:val="en-US"/>
        </w:rPr>
        <w:t>Table 1</w:t>
      </w:r>
      <w:r w:rsidRPr="00217BC0">
        <w:rPr>
          <w:rFonts w:ascii="Arial" w:hAnsi="Arial" w:cs="Arial"/>
          <w:lang w:val="en-US"/>
        </w:rPr>
        <w:t>): the results are stronger for esophageal cancer. In general, however, these studies suffer from limitations including (</w:t>
      </w:r>
      <w:proofErr w:type="spellStart"/>
      <w:r w:rsidRPr="00217BC0">
        <w:rPr>
          <w:rFonts w:ascii="Arial" w:hAnsi="Arial" w:cs="Arial"/>
          <w:lang w:val="en-US"/>
        </w:rPr>
        <w:t>i</w:t>
      </w:r>
      <w:proofErr w:type="spellEnd"/>
      <w:r w:rsidRPr="00217BC0">
        <w:rPr>
          <w:rFonts w:ascii="Arial" w:hAnsi="Arial" w:cs="Arial"/>
          <w:lang w:val="en-US"/>
        </w:rPr>
        <w:t>) suboptimal choice of controls (e.g., relatives), (ii) small number of exposed cases and controls (e.g., no more than 20 exposed cases in 5 of the available studies), (iii) inclusion of cigarette smokers with hookah smokers, (iv) lack of results (in most studies) on duration or amount of hookah smoking.</w:t>
      </w:r>
    </w:p>
    <w:p w14:paraId="7B13BDD3" w14:textId="77777777" w:rsidR="003006A5" w:rsidRPr="00217BC0" w:rsidRDefault="003006A5" w:rsidP="008A4174">
      <w:pPr>
        <w:jc w:val="both"/>
        <w:rPr>
          <w:rFonts w:ascii="Arial" w:eastAsia="TimesLTStd-Roman" w:hAnsi="Arial" w:cs="Arial"/>
          <w:color w:val="000000"/>
          <w:lang w:val="en-US" w:bidi="he-IL"/>
        </w:rPr>
      </w:pPr>
      <w:r w:rsidRPr="00217BC0">
        <w:rPr>
          <w:rFonts w:ascii="Arial" w:hAnsi="Arial" w:cs="Arial"/>
          <w:u w:val="single"/>
          <w:lang w:val="en-US"/>
        </w:rPr>
        <w:t xml:space="preserve">Carcinogens in hookah smoke and in biological samples of hookah smokers. </w:t>
      </w:r>
      <w:r w:rsidRPr="00217BC0">
        <w:rPr>
          <w:rFonts w:ascii="Arial" w:eastAsia="TimesLTStd-Roman" w:hAnsi="Arial" w:cs="Arial"/>
          <w:color w:val="000000"/>
          <w:lang w:val="en-US" w:bidi="he-IL"/>
        </w:rPr>
        <w:t xml:space="preserve">Tobacco smoke contains </w:t>
      </w:r>
      <w:proofErr w:type="gramStart"/>
      <w:r w:rsidRPr="00217BC0">
        <w:rPr>
          <w:rFonts w:ascii="Arial" w:eastAsia="TimesLTStd-Roman" w:hAnsi="Arial" w:cs="Arial"/>
          <w:color w:val="000000"/>
          <w:lang w:val="en-US" w:bidi="he-IL"/>
        </w:rPr>
        <w:t>a large number of</w:t>
      </w:r>
      <w:proofErr w:type="gramEnd"/>
      <w:r w:rsidRPr="00217BC0">
        <w:rPr>
          <w:rFonts w:ascii="Arial" w:eastAsia="TimesLTStd-Roman" w:hAnsi="Arial" w:cs="Arial"/>
          <w:color w:val="000000"/>
          <w:lang w:val="en-US" w:bidi="he-IL"/>
        </w:rPr>
        <w:t xml:space="preserve"> carcinogen compounds including polycyclic aromatic hydrocarbons (PAHs) and volatile organic compounds (VOCs), such as acrolein, crotonaldehyde, acrylonitrile, benzene and propylene oxide. PAHs are ubiquitous environmental contaminants formed in all processes involving incomplete combustion of organic matter [ECSCF, 2002], and occur in mixtures that include highly carcinogenic compounds, such as benzo[</w:t>
      </w:r>
      <w:r w:rsidRPr="00217BC0">
        <w:rPr>
          <w:rFonts w:ascii="Arial" w:eastAsia="TimesLTStd-Roman" w:hAnsi="Arial" w:cs="Arial"/>
          <w:i/>
          <w:iCs/>
          <w:color w:val="000000"/>
          <w:lang w:val="en-US" w:bidi="he-IL"/>
        </w:rPr>
        <w:t>a</w:t>
      </w:r>
      <w:r w:rsidRPr="00217BC0">
        <w:rPr>
          <w:rFonts w:ascii="Arial" w:eastAsia="TimesLTStd-Roman" w:hAnsi="Arial" w:cs="Arial"/>
          <w:color w:val="000000"/>
          <w:lang w:val="en-US" w:bidi="he-IL"/>
        </w:rPr>
        <w:t xml:space="preserve">]pyrene, as well as weakly or non-carcinogenic compounds, such as phenanthrene [ECSCF, 2002]. VOCs are also combustion products that are </w:t>
      </w:r>
      <w:r w:rsidRPr="00217BC0">
        <w:rPr>
          <w:rFonts w:ascii="Arial" w:eastAsia="TimesLTStd-Roman" w:hAnsi="Arial" w:cs="Arial"/>
          <w:color w:val="000000"/>
          <w:lang w:val="en-US" w:bidi="he-IL"/>
        </w:rPr>
        <w:lastRenderedPageBreak/>
        <w:t>present in tobacco smoke [Stevens &amp; Maier, 2008]. Benzene, benzo[</w:t>
      </w:r>
      <w:r w:rsidRPr="00217BC0">
        <w:rPr>
          <w:rFonts w:ascii="Arial" w:eastAsia="TimesLTStd-Roman" w:hAnsi="Arial" w:cs="Arial"/>
          <w:i/>
          <w:iCs/>
          <w:color w:val="000000"/>
          <w:lang w:val="en-US" w:bidi="he-IL"/>
        </w:rPr>
        <w:t>a</w:t>
      </w:r>
      <w:r w:rsidRPr="00217BC0">
        <w:rPr>
          <w:rFonts w:ascii="Arial" w:eastAsia="TimesLTStd-Roman" w:hAnsi="Arial" w:cs="Arial"/>
          <w:color w:val="000000"/>
          <w:lang w:val="en-US" w:bidi="he-IL"/>
        </w:rPr>
        <w:t>]pyrene, and other mixtures of PAHs are considered carcinogenic to humans [IARC, 2012]; acrolein, acrylonitrile, crotonaldehyde and propylene oxide are suspected human carcinogens. These agents, however, have mainly been studied in smoke derived from cigarettes, while their presence in smoke from other tobacco products, including hookah, are limited, although a role for them is highly suspected [Schubert et al., 2015].</w:t>
      </w:r>
    </w:p>
    <w:p w14:paraId="3F6642AF" w14:textId="77777777" w:rsidR="003006A5" w:rsidRPr="00217BC0" w:rsidRDefault="003006A5" w:rsidP="008A4174">
      <w:pPr>
        <w:ind w:firstLine="720"/>
        <w:jc w:val="both"/>
        <w:rPr>
          <w:rFonts w:ascii="Arial" w:hAnsi="Arial" w:cs="Arial"/>
          <w:lang w:val="en-US"/>
        </w:rPr>
      </w:pPr>
      <w:r w:rsidRPr="00217BC0">
        <w:rPr>
          <w:rFonts w:ascii="Arial" w:hAnsi="Arial" w:cs="Arial"/>
          <w:lang w:val="en-US"/>
        </w:rPr>
        <w:t>Whereas similar nicotine levels in plasma have been reported following hookah and cigarette smoking, carboxyhemoglobin levels were three-fold higher after hookah than after cigarette smoking [</w:t>
      </w:r>
      <w:proofErr w:type="spellStart"/>
      <w:r w:rsidRPr="00217BC0">
        <w:rPr>
          <w:rFonts w:ascii="Arial" w:hAnsi="Arial" w:cs="Arial"/>
          <w:lang w:val="en-US"/>
        </w:rPr>
        <w:t>Eissenberg</w:t>
      </w:r>
      <w:proofErr w:type="spellEnd"/>
      <w:r w:rsidRPr="00217BC0">
        <w:rPr>
          <w:rFonts w:ascii="Arial" w:hAnsi="Arial" w:cs="Arial"/>
          <w:lang w:val="en-US"/>
        </w:rPr>
        <w:t xml:space="preserve"> </w:t>
      </w:r>
      <w:proofErr w:type="gramStart"/>
      <w:r w:rsidRPr="00217BC0">
        <w:rPr>
          <w:rFonts w:ascii="Arial" w:hAnsi="Arial" w:cs="Arial"/>
          <w:lang w:val="en-US"/>
        </w:rPr>
        <w:t>&amp;.Shihadeh</w:t>
      </w:r>
      <w:proofErr w:type="gramEnd"/>
      <w:r w:rsidRPr="00217BC0">
        <w:rPr>
          <w:rFonts w:ascii="Arial" w:hAnsi="Arial" w:cs="Arial"/>
          <w:lang w:val="en-US"/>
        </w:rPr>
        <w:t xml:space="preserve">, 2009]. Carbon monoxide levels following hookah smoking are similarly higher than after cigarette smoking, as </w:t>
      </w:r>
      <w:proofErr w:type="gramStart"/>
      <w:r w:rsidRPr="00217BC0">
        <w:rPr>
          <w:rFonts w:ascii="Arial" w:hAnsi="Arial" w:cs="Arial"/>
          <w:lang w:val="en-US"/>
        </w:rPr>
        <w:t>the majority of</w:t>
      </w:r>
      <w:proofErr w:type="gramEnd"/>
      <w:r w:rsidRPr="00217BC0">
        <w:rPr>
          <w:rFonts w:ascii="Arial" w:hAnsi="Arial" w:cs="Arial"/>
          <w:lang w:val="en-US"/>
        </w:rPr>
        <w:t xml:space="preserve"> the excess carbon monoxide comes from the burning charcoal [Jacob et al., 2011]. In a small clinical study of hookah smokers, Jacob et al. [2011] found increased urinary concentrations of total 4-(</w:t>
      </w:r>
      <w:proofErr w:type="spellStart"/>
      <w:r w:rsidRPr="00217BC0">
        <w:rPr>
          <w:rFonts w:ascii="Arial" w:hAnsi="Arial" w:cs="Arial"/>
          <w:lang w:val="en-US"/>
        </w:rPr>
        <w:t>methylnitrosamino</w:t>
      </w:r>
      <w:proofErr w:type="spellEnd"/>
      <w:r w:rsidRPr="00217BC0">
        <w:rPr>
          <w:rFonts w:ascii="Arial" w:hAnsi="Arial" w:cs="Arial"/>
          <w:lang w:val="en-US"/>
        </w:rPr>
        <w:t>)-1-(3-pyridyl)-1-butanol (total NNAL), a biomarker of exposure to the tobacco-specific nitrosamine (TSNA) and lung carcinogen 4-(</w:t>
      </w:r>
      <w:proofErr w:type="spellStart"/>
      <w:r w:rsidRPr="00217BC0">
        <w:rPr>
          <w:rFonts w:ascii="Arial" w:hAnsi="Arial" w:cs="Arial"/>
          <w:lang w:val="en-US"/>
        </w:rPr>
        <w:t>methylnitrosamino</w:t>
      </w:r>
      <w:proofErr w:type="spellEnd"/>
      <w:r w:rsidRPr="00217BC0">
        <w:rPr>
          <w:rFonts w:ascii="Arial" w:hAnsi="Arial" w:cs="Arial"/>
          <w:lang w:val="en-US"/>
        </w:rPr>
        <w:t xml:space="preserve">)-1-(3-pyridyl)-1-butanone (NNK) and some PAH metabolites. Two other small studies have also reported total NNAL levels in the urine of hookah smokers [Schubert et al., 2011; Ghada et al., 2013]. No data </w:t>
      </w:r>
      <w:proofErr w:type="gramStart"/>
      <w:r w:rsidRPr="00217BC0">
        <w:rPr>
          <w:rFonts w:ascii="Arial" w:hAnsi="Arial" w:cs="Arial"/>
          <w:lang w:val="en-US"/>
        </w:rPr>
        <w:t>are</w:t>
      </w:r>
      <w:proofErr w:type="gramEnd"/>
      <w:r w:rsidRPr="00217BC0">
        <w:rPr>
          <w:rFonts w:ascii="Arial" w:hAnsi="Arial" w:cs="Arial"/>
          <w:lang w:val="en-US"/>
        </w:rPr>
        <w:t xml:space="preserve"> available on exposure of hookah smokers to other carcinogens present in tobacco smoke, such as VOCs</w:t>
      </w:r>
      <w:r w:rsidRPr="00217BC0">
        <w:rPr>
          <w:rFonts w:ascii="Arial" w:eastAsia="Calibri" w:hAnsi="Arial" w:cs="Arial"/>
          <w:lang w:val="en-US"/>
        </w:rPr>
        <w:t>.</w:t>
      </w:r>
    </w:p>
    <w:p w14:paraId="5119174E" w14:textId="77777777" w:rsidR="003006A5" w:rsidRPr="00217BC0" w:rsidRDefault="003006A5" w:rsidP="008A4174">
      <w:pPr>
        <w:jc w:val="both"/>
        <w:rPr>
          <w:rFonts w:ascii="Arial" w:hAnsi="Arial" w:cs="Arial"/>
          <w:lang w:val="en-US"/>
        </w:rPr>
      </w:pPr>
    </w:p>
    <w:p w14:paraId="4A9FDC1C" w14:textId="77777777" w:rsidR="003006A5" w:rsidRPr="00217BC0" w:rsidRDefault="003006A5" w:rsidP="008A4174">
      <w:pPr>
        <w:jc w:val="both"/>
        <w:rPr>
          <w:rFonts w:ascii="Arial" w:hAnsi="Arial" w:cs="Arial"/>
          <w:lang w:val="en-US"/>
        </w:rPr>
      </w:pPr>
      <w:r w:rsidRPr="00217BC0">
        <w:rPr>
          <w:rFonts w:ascii="Arial" w:hAnsi="Arial" w:cs="Arial"/>
          <w:u w:val="single"/>
          <w:lang w:val="en-US"/>
        </w:rPr>
        <w:t xml:space="preserve">Increasing prevalence of hookah smoking globally. </w:t>
      </w:r>
      <w:r w:rsidRPr="00217BC0">
        <w:rPr>
          <w:rFonts w:ascii="Arial" w:hAnsi="Arial" w:cs="Arial"/>
          <w:lang w:val="en-US"/>
        </w:rPr>
        <w:t>Following a reduction in prevalence of hookah smoking through most of the 20th century in areas where the habit has historically occurred, including West Asia, its popularity has risen again among youth from these regions since the 1990s [</w:t>
      </w:r>
      <w:proofErr w:type="spellStart"/>
      <w:r w:rsidRPr="00217BC0">
        <w:rPr>
          <w:rFonts w:ascii="Arial" w:hAnsi="Arial" w:cs="Arial"/>
          <w:lang w:val="en-US"/>
        </w:rPr>
        <w:t>Rastam</w:t>
      </w:r>
      <w:proofErr w:type="spellEnd"/>
      <w:r w:rsidRPr="00217BC0">
        <w:rPr>
          <w:rFonts w:ascii="Arial" w:hAnsi="Arial" w:cs="Arial"/>
          <w:lang w:val="en-US"/>
        </w:rPr>
        <w:t xml:space="preserve"> et al, 2004]. Surveys have reported current hookah smoking prevalence of over 25% in university students [e.g., Jawaid et al., 2008; Ghafouri et al., 2011], while the use is less prevalent among the older individuals. Recently, a high prevalence of hookah smoking has been reported among young people from areas where hookah use has not been a longstanding popular habit, including Canada [Chan et al., 2011] and United Kingdom [Jackson et al., 2008]. Past data on hookah smoking prevalence from these regions have been limited, probably due to scarcity of this habit, which generally hinders the ability to make valid estimations regarding the increase in use over time. However, results from one recent international survey on time trends of tobacco use during 1999–2008 conducted among more than half a million 13–</w:t>
      </w:r>
      <w:proofErr w:type="gramStart"/>
      <w:r w:rsidRPr="00217BC0">
        <w:rPr>
          <w:rFonts w:ascii="Arial" w:hAnsi="Arial" w:cs="Arial"/>
          <w:lang w:val="en-US"/>
        </w:rPr>
        <w:t>15 year-old</w:t>
      </w:r>
      <w:proofErr w:type="gramEnd"/>
      <w:r w:rsidRPr="00217BC0">
        <w:rPr>
          <w:rFonts w:ascii="Arial" w:hAnsi="Arial" w:cs="Arial"/>
          <w:lang w:val="en-US"/>
        </w:rPr>
        <w:t xml:space="preserve"> in 95 countries support an increase in hookah use globally. While cigarette smoking was either stable or declining during that decade, </w:t>
      </w:r>
      <w:proofErr w:type="gramStart"/>
      <w:r w:rsidRPr="00217BC0">
        <w:rPr>
          <w:rFonts w:ascii="Arial" w:hAnsi="Arial" w:cs="Arial"/>
          <w:lang w:val="en-US"/>
        </w:rPr>
        <w:t>prevalence</w:t>
      </w:r>
      <w:proofErr w:type="gramEnd"/>
      <w:r w:rsidRPr="00217BC0">
        <w:rPr>
          <w:rFonts w:ascii="Arial" w:hAnsi="Arial" w:cs="Arial"/>
          <w:lang w:val="en-US"/>
        </w:rPr>
        <w:t xml:space="preserve"> of hookah smoking showed a rising trend [Warren et al., 2009]. An estimated 100 million people regularly smoke hookahs worldwide [Ward et al., 2005]. </w:t>
      </w:r>
    </w:p>
    <w:p w14:paraId="71CBF0AA" w14:textId="77777777" w:rsidR="003006A5" w:rsidRPr="00217BC0" w:rsidRDefault="003006A5" w:rsidP="008A4174">
      <w:pPr>
        <w:jc w:val="both"/>
        <w:rPr>
          <w:rFonts w:ascii="Arial" w:hAnsi="Arial" w:cs="Arial"/>
          <w:b/>
          <w:lang w:val="en-US"/>
        </w:rPr>
      </w:pPr>
    </w:p>
    <w:p w14:paraId="37DCA970" w14:textId="77777777" w:rsidR="003006A5" w:rsidRPr="00217BC0" w:rsidRDefault="003006A5" w:rsidP="008A4174">
      <w:pPr>
        <w:rPr>
          <w:rFonts w:ascii="Arial" w:hAnsi="Arial" w:cs="Arial"/>
          <w:b/>
          <w:lang w:val="en-US"/>
        </w:rPr>
      </w:pPr>
      <w:r>
        <w:rPr>
          <w:rFonts w:ascii="Arial" w:hAnsi="Arial" w:cs="Arial"/>
          <w:b/>
          <w:lang w:val="en-US"/>
        </w:rPr>
        <w:t>Study Population</w:t>
      </w:r>
    </w:p>
    <w:p w14:paraId="275CF4F2" w14:textId="77777777" w:rsidR="003006A5" w:rsidRPr="00217BC0" w:rsidRDefault="003006A5" w:rsidP="008A4174">
      <w:pPr>
        <w:jc w:val="both"/>
        <w:rPr>
          <w:rFonts w:ascii="Arial" w:hAnsi="Arial" w:cs="Arial"/>
          <w:lang w:val="en-US"/>
        </w:rPr>
      </w:pPr>
      <w:r w:rsidRPr="00217BC0">
        <w:rPr>
          <w:rFonts w:ascii="Arial" w:hAnsi="Arial" w:cs="Arial"/>
          <w:lang w:val="en-US"/>
        </w:rPr>
        <w:t xml:space="preserve">The proposed research will efficiently use unique resources to study </w:t>
      </w:r>
      <w:proofErr w:type="gramStart"/>
      <w:r w:rsidRPr="00217BC0">
        <w:rPr>
          <w:rFonts w:ascii="Arial" w:hAnsi="Arial" w:cs="Arial"/>
          <w:lang w:val="en-US"/>
        </w:rPr>
        <w:t>of</w:t>
      </w:r>
      <w:proofErr w:type="gramEnd"/>
      <w:r w:rsidRPr="00217BC0">
        <w:rPr>
          <w:rFonts w:ascii="Arial" w:hAnsi="Arial" w:cs="Arial"/>
          <w:lang w:val="en-US"/>
        </w:rPr>
        <w:t xml:space="preserve"> health effects of hookah smoking: the IROPICAN case-control </w:t>
      </w:r>
      <w:r>
        <w:rPr>
          <w:rFonts w:ascii="Arial" w:hAnsi="Arial" w:cs="Arial"/>
          <w:lang w:val="en-US"/>
        </w:rPr>
        <w:t>study.</w:t>
      </w:r>
    </w:p>
    <w:p w14:paraId="342DB7CA" w14:textId="77777777" w:rsidR="003006A5" w:rsidRPr="00217BC0" w:rsidRDefault="003006A5" w:rsidP="008A4174">
      <w:pPr>
        <w:jc w:val="both"/>
        <w:rPr>
          <w:rFonts w:ascii="Arial" w:hAnsi="Arial" w:cs="Arial"/>
          <w:lang w:val="en-US"/>
        </w:rPr>
      </w:pPr>
    </w:p>
    <w:p w14:paraId="58F08BFC" w14:textId="77777777" w:rsidR="003006A5" w:rsidRPr="00217BC0" w:rsidRDefault="003006A5" w:rsidP="008A4174">
      <w:pPr>
        <w:jc w:val="both"/>
        <w:rPr>
          <w:rFonts w:ascii="Arial" w:eastAsiaTheme="minorEastAsia" w:hAnsi="Arial" w:cs="Arial"/>
          <w:lang w:val="en-US"/>
        </w:rPr>
      </w:pPr>
      <w:r w:rsidRPr="00217BC0">
        <w:rPr>
          <w:rFonts w:ascii="Arial" w:hAnsi="Arial" w:cs="Arial"/>
          <w:u w:val="single"/>
          <w:lang w:val="en-US"/>
        </w:rPr>
        <w:t>IROPICAN Study.</w:t>
      </w:r>
      <w:r w:rsidRPr="00217BC0">
        <w:rPr>
          <w:rFonts w:ascii="Arial" w:hAnsi="Arial" w:cs="Arial"/>
          <w:lang w:val="en-US"/>
        </w:rPr>
        <w:t xml:space="preserve"> </w:t>
      </w:r>
      <w:r w:rsidRPr="00217BC0">
        <w:rPr>
          <w:rFonts w:ascii="Arial" w:eastAsia="AGaramondPro-Regular" w:hAnsi="Arial" w:cs="Arial"/>
          <w:noProof/>
          <w:lang w:val="en-US"/>
        </w:rPr>
        <w:t>The Iranian Study of Opium and Cancer (IROPICAN) is a multi-center case-control study started in 2017 in four provinces of Iran (Tehran, Kerman, Fars and Golestan) to evaluate the association between behavioral risk factors, including opium and tobacco consumption, and risk of cancers of the lung, colorectum, bladder, and head and neck.</w:t>
      </w:r>
      <w:r w:rsidRPr="00217BC0">
        <w:rPr>
          <w:rFonts w:ascii="Arial" w:eastAsia="AGaramondPro-Regular" w:hAnsi="Arial" w:cs="Arial"/>
          <w:lang w:val="en-US"/>
        </w:rPr>
        <w:t xml:space="preserve"> The goal is to recruit 800 cases for each cancer type, and a matched group of </w:t>
      </w:r>
      <w:r w:rsidRPr="00217BC0">
        <w:rPr>
          <w:rFonts w:ascii="Arial" w:eastAsia="AGaramondPro-Regular" w:hAnsi="Arial" w:cs="Arial"/>
          <w:lang w:val="en-US"/>
        </w:rPr>
        <w:lastRenderedPageBreak/>
        <w:t>800 controls from each cancer site</w:t>
      </w:r>
      <w:r w:rsidRPr="00217BC0">
        <w:rPr>
          <w:rFonts w:ascii="Arial" w:eastAsia="AGaramondPro-Regular" w:hAnsi="Arial" w:cs="Arial"/>
          <w:noProof/>
          <w:lang w:val="en-US"/>
        </w:rPr>
        <w:t>,</w:t>
      </w:r>
      <w:r w:rsidRPr="00217BC0">
        <w:rPr>
          <w:rFonts w:ascii="Arial" w:eastAsia="AGaramondPro-Regular" w:hAnsi="Arial" w:cs="Arial"/>
          <w:lang w:val="en-US"/>
        </w:rPr>
        <w:t xml:space="preserve"> while collecting detailed data to assess dose-response analyses for opium and tobacco use, controlling for potential confounders, and careful evaluation of reverse causality. </w:t>
      </w:r>
      <w:r w:rsidRPr="00217BC0">
        <w:rPr>
          <w:rFonts w:ascii="Arial" w:eastAsiaTheme="minorEastAsia" w:hAnsi="Arial" w:cs="Arial"/>
          <w:lang w:val="en-US"/>
        </w:rPr>
        <w:t xml:space="preserve">Patients with one of four types of cancer admitted to the cancer hospitals in the study areas, are recruited as cases. </w:t>
      </w:r>
      <w:proofErr w:type="gramStart"/>
      <w:r w:rsidRPr="00217BC0">
        <w:rPr>
          <w:rFonts w:ascii="Arial" w:eastAsiaTheme="minorEastAsia" w:hAnsi="Arial" w:cs="Arial"/>
          <w:lang w:val="en-US"/>
        </w:rPr>
        <w:t>Controls</w:t>
      </w:r>
      <w:proofErr w:type="gramEnd"/>
      <w:r w:rsidRPr="00217BC0">
        <w:rPr>
          <w:rFonts w:ascii="Arial" w:eastAsiaTheme="minorEastAsia" w:hAnsi="Arial" w:cs="Arial"/>
          <w:lang w:val="en-US"/>
        </w:rPr>
        <w:t xml:space="preserve"> are recruited controls among visitors (relatives or friends) to patients treated at referral hospitals and clinics in each province for chronic diseases other than cancer. This approach was shown to increase response rate, while maintaining a validity in the exposure assessment [Mendonça &amp; Eluf-Neto, 2001]. </w:t>
      </w:r>
      <w:r w:rsidRPr="00217BC0">
        <w:rPr>
          <w:rFonts w:ascii="Arial" w:eastAsia="AGaramondPro-Regular" w:hAnsi="Arial" w:cs="Arial"/>
          <w:lang w:val="en-US"/>
        </w:rPr>
        <w:t xml:space="preserve">During 2017, a pilot study was conducted, which included 185 cases and 176 controls. </w:t>
      </w:r>
      <w:r w:rsidRPr="00217BC0">
        <w:rPr>
          <w:rFonts w:ascii="Arial" w:eastAsiaTheme="minorEastAsia" w:hAnsi="Arial" w:cs="Arial"/>
          <w:bCs/>
          <w:lang w:val="en-US"/>
        </w:rPr>
        <w:t>Th</w:t>
      </w:r>
      <w:r w:rsidRPr="00217BC0">
        <w:rPr>
          <w:rFonts w:ascii="Arial" w:eastAsiaTheme="minorEastAsia" w:hAnsi="Arial" w:cs="Arial"/>
          <w:lang w:val="en-US"/>
        </w:rPr>
        <w:t xml:space="preserve">e prevalence of opium use among controls was 19.3% </w:t>
      </w:r>
      <w:r w:rsidRPr="007600C7">
        <w:rPr>
          <w:rFonts w:ascii="Arial" w:eastAsiaTheme="minorEastAsia" w:hAnsi="Arial" w:cs="Arial"/>
        </w:rPr>
        <w:fldChar w:fldCharType="begin"/>
      </w:r>
      <w:r w:rsidRPr="00217BC0">
        <w:rPr>
          <w:rFonts w:ascii="Arial" w:eastAsiaTheme="minorEastAsia" w:hAnsi="Arial" w:cs="Arial"/>
          <w:lang w:val="en-US"/>
        </w:rPr>
        <w:instrText xml:space="preserve"> ADDIN EN.CITE &lt;EndNote&gt;&lt;Cite&gt;&lt;Author&gt;Hamideh Rashidian&lt;/Author&gt;&lt;Year&gt;2017&lt;/Year&gt;&lt;RecNum&gt;345&lt;/RecNum&gt;&lt;DisplayText&gt;[29]&lt;/DisplayText&gt;&lt;record&gt;&lt;rec-number&gt;345&lt;/rec-number&gt;&lt;foreign-keys&gt;&lt;key app="EN" db-id="5fa9xfwd4fwr25efxtzpdt272p5afdtzztxr" timestamp="0"&gt;345&lt;/key&gt;&lt;/foreign-keys&gt;&lt;ref-type name="Journal Article"&gt;17&lt;/ref-type&gt;&lt;contributors&gt;&lt;authors&gt;&lt;author&gt;Hamideh Rashidian,1 Maryam Hadji,2 Maryam Marzban,3 Mahin Gholipour,4 Afarin Rahimi-Movaghar,5 Farin Kamangar,6 Reza Malekzadeh,7 Elisabete Weiderpass,8 Abbas Rezaianzadeh,9 Abdolvahab Moradi,4 Nima Babhadi ashar,5 Reza Ghiasvand,10 Hossein Khavari-Daneshvar2, Ali Akbar Haghdoost,11 Kazem Zendehdel2, 12*&lt;/author&gt;&lt;/authors&gt;&lt;/contributors&gt;&lt;titles&gt;&lt;title&gt;Sensitivity of Self-Reported Opioid Use in Case-control Studies: Healthy Individuals versus Hospitalized Patients&amp;#xD;&lt;/title&gt;&lt;secondary-title&gt;PloS one&lt;/secondary-title&gt;&lt;/titles&gt;&lt;volume&gt;submited&lt;/volume&gt;&lt;dates&gt;&lt;year&gt;2017&lt;/year&gt;&lt;/dates&gt;&lt;urls&gt;&lt;/urls&gt;&lt;/record&gt;&lt;/Cite&gt;&lt;/EndNote&gt;</w:instrText>
      </w:r>
      <w:r w:rsidRPr="007600C7">
        <w:rPr>
          <w:rFonts w:ascii="Arial" w:eastAsiaTheme="minorEastAsia" w:hAnsi="Arial" w:cs="Arial"/>
        </w:rPr>
        <w:fldChar w:fldCharType="separate"/>
      </w:r>
      <w:r w:rsidRPr="00217BC0">
        <w:rPr>
          <w:rFonts w:ascii="Arial" w:eastAsiaTheme="minorEastAsia" w:hAnsi="Arial" w:cs="Arial"/>
          <w:noProof/>
          <w:lang w:val="en-US"/>
        </w:rPr>
        <w:t>[Hadji et al., submitted]</w:t>
      </w:r>
      <w:r w:rsidRPr="007600C7">
        <w:rPr>
          <w:rFonts w:ascii="Arial" w:eastAsiaTheme="minorEastAsia" w:hAnsi="Arial" w:cs="Arial"/>
        </w:rPr>
        <w:fldChar w:fldCharType="end"/>
      </w:r>
      <w:r w:rsidRPr="00217BC0">
        <w:rPr>
          <w:rFonts w:ascii="Arial" w:eastAsiaTheme="minorEastAsia" w:hAnsi="Arial" w:cs="Arial"/>
          <w:lang w:val="en-US"/>
        </w:rPr>
        <w:t>, which was close to previously reported data from the general population (14.4%) [</w:t>
      </w:r>
      <w:proofErr w:type="spellStart"/>
      <w:r w:rsidRPr="00217BC0">
        <w:rPr>
          <w:rFonts w:ascii="Arial" w:hAnsi="Arial" w:cs="Arial"/>
          <w:lang w:val="en-US"/>
        </w:rPr>
        <w:t>Nakhaee</w:t>
      </w:r>
      <w:proofErr w:type="spellEnd"/>
      <w:r w:rsidRPr="00217BC0">
        <w:rPr>
          <w:rFonts w:ascii="Arial" w:hAnsi="Arial" w:cs="Arial"/>
          <w:lang w:val="en-US"/>
        </w:rPr>
        <w:t xml:space="preserve"> </w:t>
      </w:r>
      <w:r w:rsidRPr="00217BC0">
        <w:rPr>
          <w:rFonts w:ascii="Arial" w:eastAsiaTheme="minorEastAsia" w:hAnsi="Arial" w:cs="Arial"/>
          <w:lang w:val="en-US"/>
        </w:rPr>
        <w:t xml:space="preserve">et al., 2008]; that of hookah smoking was 21.5%. The validity of responses to questions regarding opium use (a potential source of report bias) was assessed by testing opium metabolites in the urine. The sensitivity of self-report in response to the questionnaire among controls was 69% [Hadji et al., submitted].  </w:t>
      </w:r>
    </w:p>
    <w:p w14:paraId="1F3726F4" w14:textId="77777777" w:rsidR="003006A5" w:rsidRPr="00217BC0" w:rsidRDefault="003006A5" w:rsidP="008A4174">
      <w:pPr>
        <w:ind w:firstLine="720"/>
        <w:jc w:val="both"/>
        <w:rPr>
          <w:rFonts w:ascii="Arial" w:eastAsiaTheme="minorEastAsia" w:hAnsi="Arial" w:cs="Arial"/>
          <w:lang w:val="en-US"/>
        </w:rPr>
      </w:pPr>
      <w:r w:rsidRPr="00217BC0">
        <w:rPr>
          <w:rFonts w:ascii="Arial" w:eastAsiaTheme="minorEastAsia" w:hAnsi="Arial" w:cs="Arial"/>
          <w:noProof/>
          <w:lang w:val="en-US"/>
        </w:rPr>
        <w:t xml:space="preserve">A detailed questionnaire, adapted from the Golestan Cohort Study </w:t>
      </w:r>
      <w:r w:rsidRPr="007600C7">
        <w:rPr>
          <w:rFonts w:ascii="Arial" w:eastAsiaTheme="minorEastAsia" w:hAnsi="Arial" w:cs="Arial"/>
          <w:noProof/>
        </w:rPr>
        <w:fldChar w:fldCharType="begin"/>
      </w:r>
      <w:r w:rsidRPr="00217BC0">
        <w:rPr>
          <w:rFonts w:ascii="Arial" w:eastAsiaTheme="minorEastAsia" w:hAnsi="Arial" w:cs="Arial"/>
          <w:noProof/>
          <w:lang w:val="en-US"/>
        </w:rPr>
        <w:instrText xml:space="preserve"> ADDIN EN.CITE &lt;EndNote&gt;&lt;Cite&gt;&lt;Author&gt;Pourshams&lt;/Author&gt;&lt;Year&gt;2009&lt;/Year&gt;&lt;RecNum&gt;347&lt;/RecNum&gt;&lt;DisplayText&gt;[32]&lt;/DisplayText&gt;&lt;record&gt;&lt;rec-number&gt;347&lt;/rec-number&gt;&lt;foreign-keys&gt;&lt;key app="EN" db-id="5fa9xfwd4fwr25efxtzpdt272p5afdtzztxr" timestamp="1510740070"&gt;347&lt;/key&gt;&lt;/foreign-keys&gt;&lt;ref-type name="Journal Article"&gt;17&lt;/ref-type&gt;&lt;contributors&gt;&lt;authors&gt;&lt;author&gt;Pourshams, Akram&lt;/author&gt;&lt;author&gt;Khademi, Hooman&lt;/author&gt;&lt;author&gt;Malekshah, Akbar Fazeltabar&lt;/author&gt;&lt;author&gt;Islami, Farhad&lt;/author&gt;&lt;author&gt;Nouraei, Mehdi&lt;/author&gt;&lt;author&gt;Sadjadi, Ali Reza&lt;/author&gt;&lt;author&gt;Jafari, Elham&lt;/author&gt;&lt;author&gt;Rakhshani, Nasser&lt;/author&gt;&lt;author&gt;Salahi, Rasool&lt;/author&gt;&lt;author&gt;Semnani, Shahryar&lt;/author&gt;&lt;/authors&gt;&lt;/contributors&gt;&lt;titles&gt;&lt;title&gt;Cohort profile: the Golestan Cohort Study—a prospective study of oesophageal cancer in northern Iran&lt;/title&gt;&lt;secondary-title&gt;International journal of epidemiology&lt;/secondary-title&gt;&lt;/titles&gt;&lt;periodical&gt;&lt;full-title&gt;International journal of epidemiology&lt;/full-title&gt;&lt;/periodical&gt;&lt;pages&gt;52-59&lt;/pages&gt;&lt;volume&gt;39&lt;/volume&gt;&lt;number&gt;1&lt;/number&gt;&lt;dates&gt;&lt;year&gt;2009&lt;/year&gt;&lt;/dates&gt;&lt;isbn&gt;1464-3685&lt;/isbn&gt;&lt;urls&gt;&lt;/urls&gt;&lt;/record&gt;&lt;/Cite&gt;&lt;/EndNote&gt;</w:instrText>
      </w:r>
      <w:r w:rsidRPr="007600C7">
        <w:rPr>
          <w:rFonts w:ascii="Arial" w:eastAsiaTheme="minorEastAsia" w:hAnsi="Arial" w:cs="Arial"/>
          <w:noProof/>
        </w:rPr>
        <w:fldChar w:fldCharType="separate"/>
      </w:r>
      <w:r w:rsidRPr="00217BC0">
        <w:rPr>
          <w:rFonts w:ascii="Arial" w:eastAsiaTheme="minorEastAsia" w:hAnsi="Arial" w:cs="Arial"/>
          <w:noProof/>
          <w:lang w:val="en-US"/>
        </w:rPr>
        <w:t>[</w:t>
      </w:r>
      <w:r w:rsidRPr="007600C7">
        <w:rPr>
          <w:rFonts w:ascii="Arial" w:eastAsiaTheme="minorEastAsia" w:hAnsi="Arial" w:cs="Arial"/>
          <w:noProof/>
        </w:rPr>
        <w:fldChar w:fldCharType="end"/>
      </w:r>
      <w:r w:rsidRPr="00217BC0">
        <w:rPr>
          <w:rFonts w:ascii="Arial" w:eastAsiaTheme="minorEastAsia" w:hAnsi="Arial" w:cs="Arial"/>
          <w:noProof/>
          <w:lang w:val="en-US"/>
        </w:rPr>
        <w:t>Pourshams et al., 2010], is administered to all cases and controls, which includes questions on age, ethnicity, education, rural/urban status, occupational history, socioeconomic status (assessed by ownership score [Islami et al., 2009]), physical activity (using the international physical activity questionnaire [Vasheghani et al., 2011]), oral health, female reproductive history, history of disease, personal and family history of cancer, tobacco consumption, including cigarette, hookah, pipe, naswar (a chewing product), and chopogh (a special pipe), lifelong alcohol consumption, opiate use and use of other drugs (i.e., diphnoxiylate, methadone, codeine, etc.), use of opioids including non-medical morphine, raw opium, shireh (i.e. a refined condensed extract of remnants of smoked opium) [Amin</w:t>
      </w:r>
      <w:r w:rsidRPr="00217BC0">
        <w:rPr>
          <w:rFonts w:ascii="Cambria Math" w:eastAsiaTheme="minorEastAsia" w:hAnsi="Cambria Math" w:cs="Cambria Math"/>
          <w:noProof/>
          <w:lang w:val="en-US"/>
        </w:rPr>
        <w:t>‐</w:t>
      </w:r>
      <w:r w:rsidRPr="00217BC0">
        <w:rPr>
          <w:rFonts w:ascii="Arial" w:eastAsiaTheme="minorEastAsia" w:hAnsi="Arial" w:cs="Arial"/>
          <w:noProof/>
          <w:lang w:val="en-US"/>
        </w:rPr>
        <w:t>Esmaeili et al., 2016]</w:t>
      </w:r>
      <w:r w:rsidRPr="00C80A67">
        <w:rPr>
          <w:rFonts w:ascii="Arial" w:eastAsiaTheme="minorEastAsia" w:hAnsi="Arial" w:cs="Arial"/>
          <w:noProof/>
        </w:rPr>
        <w:fldChar w:fldCharType="begin"/>
      </w:r>
      <w:r w:rsidRPr="00217BC0">
        <w:rPr>
          <w:rFonts w:ascii="Arial" w:eastAsiaTheme="minorEastAsia" w:hAnsi="Arial" w:cs="Arial"/>
          <w:noProof/>
          <w:lang w:val="en-US"/>
        </w:rPr>
        <w:instrText xml:space="preserve"> ADDIN EN.CITE &lt;EndNote&gt;&lt;Cite&gt;&lt;Author&gt;Amin</w:instrText>
      </w:r>
      <w:r w:rsidRPr="00217BC0">
        <w:rPr>
          <w:rFonts w:ascii="Cambria Math" w:eastAsiaTheme="minorEastAsia" w:hAnsi="Cambria Math" w:cs="Cambria Math"/>
          <w:noProof/>
          <w:lang w:val="en-US"/>
        </w:rPr>
        <w:instrText>‐</w:instrText>
      </w:r>
      <w:r w:rsidRPr="00217BC0">
        <w:rPr>
          <w:rFonts w:ascii="Arial" w:eastAsiaTheme="minorEastAsia" w:hAnsi="Arial" w:cs="Arial"/>
          <w:noProof/>
          <w:lang w:val="en-US"/>
        </w:rPr>
        <w:instrText>Esmaeili&lt;/Author&gt;&lt;Year&gt;2016&lt;/Year&gt;&lt;RecNum&gt;26&lt;/RecNum&gt;&lt;DisplayText&gt;[38]&lt;/DisplayText&gt;&lt;record&gt;&lt;rec-number&gt;26&lt;/rec-number&gt;&lt;foreign-keys&gt;&lt;key app="EN" db-id="dfssxfe589ztz0eze2n5zp5lrdr59t5tf9xe" timestamp="1516009366"&gt;26&lt;/key&gt;&lt;/foreign-keys&gt;&lt;ref-type name="Journal Article"&gt;17&lt;/ref-type&gt;&lt;contributors&gt;&lt;authors&gt;&lt;author&gt;Amin</w:instrText>
      </w:r>
      <w:r w:rsidRPr="00217BC0">
        <w:rPr>
          <w:rFonts w:ascii="Cambria Math" w:eastAsiaTheme="minorEastAsia" w:hAnsi="Cambria Math" w:cs="Cambria Math"/>
          <w:noProof/>
          <w:lang w:val="en-US"/>
        </w:rPr>
        <w:instrText>‐</w:instrText>
      </w:r>
      <w:r w:rsidRPr="00217BC0">
        <w:rPr>
          <w:rFonts w:ascii="Arial" w:eastAsiaTheme="minorEastAsia" w:hAnsi="Arial" w:cs="Arial"/>
          <w:noProof/>
          <w:lang w:val="en-US"/>
        </w:rPr>
        <w:instrText>Esmaeili, Masoumeh&lt;/author&gt;&lt;author&gt;Rahimi</w:instrText>
      </w:r>
      <w:r w:rsidRPr="00217BC0">
        <w:rPr>
          <w:rFonts w:ascii="Cambria Math" w:eastAsiaTheme="minorEastAsia" w:hAnsi="Cambria Math" w:cs="Cambria Math"/>
          <w:noProof/>
          <w:lang w:val="en-US"/>
        </w:rPr>
        <w:instrText>‐</w:instrText>
      </w:r>
      <w:r w:rsidRPr="00217BC0">
        <w:rPr>
          <w:rFonts w:ascii="Arial" w:eastAsiaTheme="minorEastAsia" w:hAnsi="Arial" w:cs="Arial"/>
          <w:noProof/>
          <w:lang w:val="en-US"/>
        </w:rPr>
        <w:instrText>Movaghar, Afarin&lt;/author&gt;&lt;author&gt;Sharifi, Vandad&lt;/author&gt;&lt;author&gt;Hajebi, Ahmad&lt;/author&gt;&lt;author&gt;Radgoodarzi, Reza&lt;/author&gt;&lt;author&gt;Mojtabai, Ramin&lt;/author&gt;&lt;author&gt;Hefazi, Mitra&lt;/author&gt;&lt;author&gt;Motevalian, Abbas&lt;/author&gt;&lt;/authors&gt;&lt;/contributors&gt;&lt;titles&gt;&lt;title&gt;Epidemiology of illicit drug use disorders in Iran: prevalence, correlates, comorbidity and service utilization results from the Iranian Mental Health Survey&lt;/title&gt;&lt;secondary-title&gt;Addiction&lt;/secondary-title&gt;&lt;/titles&gt;&lt;periodical&gt;&lt;full-title&gt;Addiction&lt;/full-title&gt;&lt;/periodical&gt;&lt;pages&gt;1836-1847&lt;/pages&gt;&lt;volume&gt;111&lt;/volume&gt;&lt;number&gt;10&lt;/number&gt;&lt;dates&gt;&lt;year&gt;2016&lt;/year&gt;&lt;/dates&gt;&lt;isbn&gt;1360-0443&lt;/isbn&gt;&lt;urls&gt;&lt;/urls&gt;&lt;/record&gt;&lt;/Cite&gt;&lt;/EndNote&gt;</w:instrText>
      </w:r>
      <w:r w:rsidRPr="00C80A67">
        <w:rPr>
          <w:rFonts w:ascii="Arial" w:eastAsiaTheme="minorEastAsia" w:hAnsi="Arial" w:cs="Arial"/>
          <w:noProof/>
        </w:rPr>
        <w:fldChar w:fldCharType="end"/>
      </w:r>
      <w:r w:rsidRPr="00217BC0">
        <w:rPr>
          <w:rFonts w:ascii="Arial" w:eastAsiaTheme="minorEastAsia" w:hAnsi="Arial" w:cs="Arial"/>
          <w:noProof/>
          <w:lang w:val="en-US"/>
        </w:rPr>
        <w:t>, sukhteh (remnants of smoked opium), and other drugs</w:t>
      </w:r>
      <w:r w:rsidRPr="00217BC0">
        <w:rPr>
          <w:rFonts w:ascii="Arial" w:eastAsiaTheme="minorEastAsia" w:hAnsi="Arial" w:cs="Arial"/>
          <w:lang w:val="en-US"/>
        </w:rPr>
        <w:t>. A validated and reproducible 125-item food frequency questionnaire [</w:t>
      </w:r>
      <w:proofErr w:type="spellStart"/>
      <w:r w:rsidRPr="00217BC0">
        <w:rPr>
          <w:rFonts w:ascii="Arial" w:eastAsiaTheme="minorEastAsia" w:hAnsi="Arial" w:cs="Arial"/>
          <w:lang w:val="en-US"/>
        </w:rPr>
        <w:t>Nematy</w:t>
      </w:r>
      <w:proofErr w:type="spellEnd"/>
      <w:r w:rsidRPr="00217BC0">
        <w:rPr>
          <w:rFonts w:ascii="Arial" w:eastAsiaTheme="minorEastAsia" w:hAnsi="Arial" w:cs="Arial"/>
          <w:lang w:val="en-US"/>
        </w:rPr>
        <w:t xml:space="preserve"> et al., 2014], similar to that used in the Golestan Cohort Study [</w:t>
      </w:r>
      <w:proofErr w:type="spellStart"/>
      <w:r w:rsidRPr="00217BC0">
        <w:rPr>
          <w:rFonts w:ascii="Arial" w:eastAsiaTheme="minorEastAsia" w:hAnsi="Arial" w:cs="Arial"/>
          <w:lang w:val="en-US"/>
        </w:rPr>
        <w:t>Malekshah</w:t>
      </w:r>
      <w:proofErr w:type="spellEnd"/>
      <w:r w:rsidRPr="00217BC0">
        <w:rPr>
          <w:rFonts w:ascii="Arial" w:eastAsiaTheme="minorEastAsia" w:hAnsi="Arial" w:cs="Arial"/>
          <w:lang w:val="en-US"/>
        </w:rPr>
        <w:t xml:space="preserve"> et al., 2006]</w:t>
      </w:r>
      <w:r w:rsidRPr="007600C7">
        <w:rPr>
          <w:rFonts w:ascii="Arial" w:eastAsiaTheme="minorEastAsia" w:hAnsi="Arial" w:cs="Arial"/>
        </w:rPr>
        <w:fldChar w:fldCharType="begin"/>
      </w:r>
      <w:r w:rsidRPr="00217BC0">
        <w:rPr>
          <w:rFonts w:ascii="Arial" w:eastAsiaTheme="minorEastAsia" w:hAnsi="Arial" w:cs="Arial"/>
          <w:lang w:val="en-US"/>
        </w:rPr>
        <w:instrText xml:space="preserve"> ADDIN EN.CITE &lt;EndNote&gt;&lt;Cite&gt;&lt;Author&gt;Malekshah&lt;/Author&gt;&lt;Year&gt;2006&lt;/Year&gt;&lt;RecNum&gt;318&lt;/RecNum&gt;&lt;DisplayText&gt;[40]&lt;/DisplayText&gt;&lt;record&gt;&lt;rec-number&gt;318&lt;/rec-number&gt;&lt;foreign-keys&gt;&lt;key app="EN" db-id="5fa9xfwd4fwr25efxtzpdt272p5afdtzztxr" timestamp="0"&gt;318&lt;/key&gt;&lt;/foreign-keys&gt;&lt;ref-type name="Journal Article"&gt;17&lt;/ref-type&gt;&lt;contributors&gt;&lt;authors&gt;&lt;author&gt;Malekshah, AF&lt;/author&gt;&lt;author&gt;Kimiagar, M&lt;/author&gt;&lt;author&gt;Saadatian-Elahi, M&lt;/author&gt;&lt;author&gt;Pourshams, A&lt;/author&gt;&lt;author&gt;Nouraie, M&lt;/author&gt;&lt;author&gt;Goglani, G&lt;/author&gt;&lt;author&gt;Hoshiarrad, A&lt;/author&gt;&lt;author&gt;Sadatsafavi, M&lt;/author&gt;&lt;author&gt;Golestan, B&lt;/author&gt;&lt;author&gt;Yoonesi, A&lt;/author&gt;&lt;/authors&gt;&lt;/contributors&gt;&lt;titles&gt;&lt;title&gt;Validity and reliability of a new food frequency questionnaire compared to 24 h recalls and biochemical measurements: pilot phase of Golestan cohort study of esophageal cancer&lt;/title&gt;&lt;secondary-title&gt;European journal of clinical nutrition&lt;/secondary-title&gt;&lt;/titles&gt;&lt;pages&gt;971-977&lt;/pages&gt;&lt;volume&gt;60&lt;/volume&gt;&lt;number&gt;8&lt;/number&gt;&lt;dates&gt;&lt;year&gt;2006&lt;/year&gt;&lt;/dates&gt;&lt;isbn&gt;0954-3007&lt;/isbn&gt;&lt;urls&gt;&lt;/urls&gt;&lt;/record&gt;&lt;/Cite&gt;&lt;/EndNote&gt;</w:instrText>
      </w:r>
      <w:r w:rsidRPr="007600C7">
        <w:rPr>
          <w:rFonts w:ascii="Arial" w:eastAsiaTheme="minorEastAsia" w:hAnsi="Arial" w:cs="Arial"/>
        </w:rPr>
        <w:fldChar w:fldCharType="end"/>
      </w:r>
      <w:r w:rsidRPr="00217BC0">
        <w:rPr>
          <w:rFonts w:ascii="Arial" w:eastAsiaTheme="minorEastAsia" w:hAnsi="Arial" w:cs="Arial"/>
          <w:lang w:val="en-US"/>
        </w:rPr>
        <w:t xml:space="preserve"> is used to collect dietary information. All cases and controls undergo a physical exam— including standardized measurements of height, weight</w:t>
      </w:r>
      <w:proofErr w:type="gramStart"/>
      <w:r w:rsidRPr="00217BC0">
        <w:rPr>
          <w:rFonts w:ascii="Arial" w:eastAsiaTheme="minorEastAsia" w:hAnsi="Arial" w:cs="Arial"/>
          <w:lang w:val="en-US"/>
        </w:rPr>
        <w:t>, blood</w:t>
      </w:r>
      <w:proofErr w:type="gramEnd"/>
      <w:r w:rsidRPr="00217BC0">
        <w:rPr>
          <w:rFonts w:ascii="Arial" w:eastAsiaTheme="minorEastAsia" w:hAnsi="Arial" w:cs="Arial"/>
          <w:lang w:val="en-US"/>
        </w:rPr>
        <w:t xml:space="preserve"> pressure— performed by trained personnel. Blood and saliva samples are collected from each cancer case and controls; samples are aliquoted and stored at the Cancer Research Center of the Cancer Institute of Iran (CII) at -80C. The PI of this proposal, P. Boffetta, is a co-investigator of the IROPICAN study. </w:t>
      </w:r>
    </w:p>
    <w:p w14:paraId="21DE2167" w14:textId="77777777" w:rsidR="003006A5" w:rsidRPr="00217BC0" w:rsidRDefault="003006A5" w:rsidP="008A4174">
      <w:pPr>
        <w:jc w:val="both"/>
        <w:rPr>
          <w:rFonts w:ascii="Arial" w:eastAsiaTheme="minorEastAsia" w:hAnsi="Arial" w:cs="Arial"/>
          <w:lang w:val="en-US"/>
        </w:rPr>
      </w:pPr>
    </w:p>
    <w:p w14:paraId="61B44030" w14:textId="77777777" w:rsidR="003006A5" w:rsidRPr="00217BC0" w:rsidRDefault="003006A5" w:rsidP="008A4174">
      <w:pPr>
        <w:rPr>
          <w:rFonts w:ascii="Arial" w:hAnsi="Arial" w:cs="Arial"/>
          <w:b/>
          <w:bCs/>
          <w:lang w:val="en-US"/>
        </w:rPr>
      </w:pPr>
      <w:r w:rsidRPr="00217BC0">
        <w:rPr>
          <w:rFonts w:ascii="Arial" w:hAnsi="Arial" w:cs="Arial"/>
          <w:b/>
          <w:bCs/>
          <w:lang w:val="en-US"/>
        </w:rPr>
        <w:t>Research plan</w:t>
      </w:r>
    </w:p>
    <w:p w14:paraId="5B0F4E1F" w14:textId="77777777" w:rsidR="003006A5" w:rsidRPr="00217BC0" w:rsidRDefault="003006A5" w:rsidP="008A4174">
      <w:pPr>
        <w:jc w:val="both"/>
        <w:rPr>
          <w:rFonts w:ascii="Arial" w:hAnsi="Arial" w:cs="Arial"/>
          <w:lang w:val="en-US"/>
        </w:rPr>
      </w:pPr>
      <w:r w:rsidRPr="00217BC0">
        <w:rPr>
          <w:rFonts w:ascii="Arial" w:hAnsi="Arial" w:cs="Arial"/>
          <w:lang w:val="en-US"/>
        </w:rPr>
        <w:t xml:space="preserve">The proposed research has the </w:t>
      </w:r>
      <w:r w:rsidRPr="00217BC0">
        <w:rPr>
          <w:rFonts w:ascii="Arial" w:hAnsi="Arial" w:cs="Arial"/>
          <w:u w:val="single"/>
          <w:lang w:val="en-US"/>
        </w:rPr>
        <w:t xml:space="preserve">Overarching Goal to elucidate the carcinogenicity of hookah smoking in humans, </w:t>
      </w:r>
      <w:r w:rsidRPr="00217BC0">
        <w:rPr>
          <w:rFonts w:ascii="Arial" w:hAnsi="Arial" w:cs="Arial"/>
          <w:lang w:val="en-US"/>
        </w:rPr>
        <w:t>through this S</w:t>
      </w:r>
      <w:r w:rsidRPr="00217BC0">
        <w:rPr>
          <w:rFonts w:ascii="Arial" w:hAnsi="Arial" w:cs="Arial"/>
          <w:u w:val="single"/>
          <w:lang w:val="en-US"/>
        </w:rPr>
        <w:t xml:space="preserve">pecific </w:t>
      </w:r>
      <w:proofErr w:type="gramStart"/>
      <w:r w:rsidRPr="00217BC0">
        <w:rPr>
          <w:rFonts w:ascii="Arial" w:hAnsi="Arial" w:cs="Arial"/>
          <w:u w:val="single"/>
          <w:lang w:val="en-US"/>
        </w:rPr>
        <w:t>Aim:.</w:t>
      </w:r>
      <w:proofErr w:type="gramEnd"/>
      <w:r w:rsidRPr="00217BC0">
        <w:rPr>
          <w:rFonts w:ascii="Arial" w:hAnsi="Arial" w:cs="Arial"/>
          <w:u w:val="single"/>
          <w:lang w:val="en-US"/>
        </w:rPr>
        <w:t xml:space="preserve"> To conduct a detailed analysis on the risk of cancer from hookah smoking in a multicenter case-control study from Iran.</w:t>
      </w:r>
      <w:r w:rsidRPr="00217BC0">
        <w:rPr>
          <w:rFonts w:ascii="Arial" w:hAnsi="Arial" w:cs="Arial"/>
          <w:lang w:val="en-US"/>
        </w:rPr>
        <w:t xml:space="preserve"> Specifically, we will test the hypothesis that hookah smoking increases the risk of head and neck, colorectal, lung and bladder cancer. In addition, we will explore the combined effect of cigarette and hookah smoking and the interaction between hookah smoking and opium use, in determining the risk of these cancers.</w:t>
      </w:r>
    </w:p>
    <w:p w14:paraId="7534EF8C" w14:textId="77777777" w:rsidR="003006A5" w:rsidRPr="00217BC0" w:rsidRDefault="003006A5" w:rsidP="008A4174">
      <w:pPr>
        <w:jc w:val="both"/>
        <w:rPr>
          <w:rFonts w:ascii="Arial" w:hAnsi="Arial" w:cs="Arial"/>
          <w:lang w:val="en-US"/>
        </w:rPr>
      </w:pPr>
    </w:p>
    <w:p w14:paraId="0AD6CA78" w14:textId="77777777" w:rsidR="003006A5" w:rsidRPr="00217BC0" w:rsidRDefault="003006A5" w:rsidP="008A4174">
      <w:pPr>
        <w:widowControl w:val="0"/>
        <w:tabs>
          <w:tab w:val="left" w:pos="540"/>
        </w:tabs>
        <w:jc w:val="both"/>
        <w:rPr>
          <w:rFonts w:ascii="Arial" w:hAnsi="Arial" w:cs="Arial"/>
          <w:u w:val="single"/>
          <w:lang w:val="en-US"/>
        </w:rPr>
      </w:pPr>
      <w:r w:rsidRPr="00217BC0">
        <w:rPr>
          <w:rFonts w:ascii="Arial" w:hAnsi="Arial" w:cs="Arial"/>
          <w:u w:val="single"/>
          <w:lang w:val="en-US"/>
        </w:rPr>
        <w:t>Recruitment of study subjects.</w:t>
      </w:r>
      <w:r w:rsidRPr="00217BC0">
        <w:rPr>
          <w:rFonts w:ascii="Arial" w:hAnsi="Arial" w:cs="Arial"/>
          <w:lang w:val="en-US"/>
        </w:rPr>
        <w:t xml:space="preserve"> The methodology for recruitment of cases and controls in the IROPICAN study was described under ‘Study Populations’ above. </w:t>
      </w:r>
      <w:r w:rsidRPr="00217BC0">
        <w:rPr>
          <w:rFonts w:ascii="Arial" w:eastAsiaTheme="minorEastAsia" w:hAnsi="Arial" w:cs="Arial"/>
          <w:lang w:val="en-US"/>
        </w:rPr>
        <w:t xml:space="preserve">Recruitment is currently on going: a total of 200 cases of each type of cancer and a comparable number </w:t>
      </w:r>
      <w:r w:rsidRPr="00217BC0">
        <w:rPr>
          <w:rFonts w:ascii="Arial" w:eastAsiaTheme="minorEastAsia" w:hAnsi="Arial" w:cs="Arial"/>
          <w:lang w:val="en-US"/>
        </w:rPr>
        <w:lastRenderedPageBreak/>
        <w:t xml:space="preserve">of matched controls are expected to be recruited by June 2019, based on current funding from local sources. The final goal (800 case-control pairs for each type of cancer, corresponding to a total of 6,400 study subjects) will be reached with an additional </w:t>
      </w:r>
      <w:proofErr w:type="gramStart"/>
      <w:r w:rsidRPr="00217BC0">
        <w:rPr>
          <w:rFonts w:ascii="Arial" w:eastAsiaTheme="minorEastAsia" w:hAnsi="Arial" w:cs="Arial"/>
          <w:lang w:val="en-US"/>
        </w:rPr>
        <w:t>3 year</w:t>
      </w:r>
      <w:proofErr w:type="gramEnd"/>
      <w:r w:rsidRPr="00217BC0">
        <w:rPr>
          <w:rFonts w:ascii="Arial" w:eastAsiaTheme="minorEastAsia" w:hAnsi="Arial" w:cs="Arial"/>
          <w:lang w:val="en-US"/>
        </w:rPr>
        <w:t xml:space="preserve"> recruitment (200 cases of each type of cancer and matched controls per year), subject to funding of the proposed research.</w:t>
      </w:r>
    </w:p>
    <w:p w14:paraId="6D2213C4" w14:textId="77777777" w:rsidR="003006A5" w:rsidRPr="00217BC0" w:rsidRDefault="003006A5" w:rsidP="008A4174">
      <w:pPr>
        <w:widowControl w:val="0"/>
        <w:tabs>
          <w:tab w:val="left" w:pos="540"/>
        </w:tabs>
        <w:jc w:val="both"/>
        <w:rPr>
          <w:rFonts w:ascii="Arial" w:hAnsi="Arial" w:cs="Arial"/>
          <w:lang w:val="en-US"/>
        </w:rPr>
      </w:pPr>
      <w:r w:rsidRPr="00217BC0">
        <w:rPr>
          <w:rFonts w:ascii="Arial" w:hAnsi="Arial" w:cs="Arial"/>
          <w:u w:val="single"/>
          <w:lang w:val="en-US"/>
        </w:rPr>
        <w:t xml:space="preserve">Data management. </w:t>
      </w:r>
      <w:r w:rsidRPr="00217BC0">
        <w:rPr>
          <w:rFonts w:ascii="Arial" w:hAnsi="Arial" w:cs="Arial"/>
          <w:lang w:val="en-US"/>
        </w:rPr>
        <w:t xml:space="preserve">Baseline data from the IROPICAN Study will be transferred to the Department of Medical and Surgical Sciences of the University of Bologna. Only de-identified </w:t>
      </w:r>
      <w:proofErr w:type="gramStart"/>
      <w:r w:rsidRPr="00217BC0">
        <w:rPr>
          <w:rFonts w:ascii="Arial" w:hAnsi="Arial" w:cs="Arial"/>
          <w:lang w:val="en-US"/>
        </w:rPr>
        <w:t>dataset</w:t>
      </w:r>
      <w:proofErr w:type="gramEnd"/>
      <w:r w:rsidRPr="00217BC0">
        <w:rPr>
          <w:rFonts w:ascii="Arial" w:hAnsi="Arial" w:cs="Arial"/>
          <w:lang w:val="en-US"/>
        </w:rPr>
        <w:t xml:space="preserve"> will be shared between the partnering institutions. Data will be checked for internal consistency; potential mistakes will be clarified with the parent institution (CII). </w:t>
      </w:r>
    </w:p>
    <w:p w14:paraId="4F5D2C8E" w14:textId="77777777" w:rsidR="003006A5" w:rsidRPr="00217BC0" w:rsidRDefault="003006A5" w:rsidP="008A4174">
      <w:pPr>
        <w:widowControl w:val="0"/>
        <w:tabs>
          <w:tab w:val="left" w:pos="540"/>
        </w:tabs>
        <w:jc w:val="both"/>
        <w:rPr>
          <w:rFonts w:ascii="Arial" w:hAnsi="Arial" w:cs="Arial"/>
          <w:lang w:val="en-US"/>
        </w:rPr>
      </w:pPr>
      <w:r w:rsidRPr="00217BC0">
        <w:rPr>
          <w:rFonts w:ascii="Arial" w:eastAsia="Calibri" w:hAnsi="Arial" w:cs="Arial"/>
          <w:bCs/>
          <w:u w:val="single"/>
          <w:lang w:val="en-US"/>
        </w:rPr>
        <w:t>Statistical analysis.</w:t>
      </w:r>
      <w:r w:rsidRPr="00217BC0">
        <w:rPr>
          <w:rFonts w:ascii="Arial" w:eastAsia="Calibri" w:hAnsi="Arial" w:cs="Arial"/>
          <w:lang w:val="en-US"/>
        </w:rPr>
        <w:t xml:space="preserve"> The first step of the statistical analysis will consist of a series of cross sectional analyses among controls to identify correlates of hookah smoking to be included as potential confounders: a preliminary list includes ethnicity, urban residence, socio-economic status, tobacco smoking, opium use, family history of cancer, as well as alcohol drinking (for head and neck cancer), body mass index (for colorectal cancer). A liberal </w:t>
      </w:r>
      <w:r w:rsidRPr="00217BC0">
        <w:rPr>
          <w:rFonts w:ascii="Arial" w:hAnsi="Arial" w:cs="Arial"/>
          <w:lang w:val="en-US"/>
        </w:rPr>
        <w:t>signi</w:t>
      </w:r>
      <w:r w:rsidRPr="00217BC0">
        <w:rPr>
          <w:rFonts w:ascii="Arial" w:eastAsia="Calibri" w:hAnsi="Arial" w:cs="Arial"/>
          <w:lang w:val="en-US"/>
        </w:rPr>
        <w:t xml:space="preserve">ficance level (e.g., p&lt;0.15) will be used.  Subsequently, we will test the hypothesis that hookah smoking is associated with higher risk of developing each of the four cancers included in the study by fitting conditional logistic regression models to calculate ORs and 95% CIs. Potential confounding will be assessed by adjusting for the factors identified as described above, in addition to sex, age and study center that are included as matching factors. </w:t>
      </w:r>
      <w:r w:rsidRPr="00217BC0">
        <w:rPr>
          <w:rFonts w:ascii="Arial" w:hAnsi="Arial" w:cs="Arial"/>
          <w:lang w:val="en-US"/>
        </w:rPr>
        <w:t xml:space="preserve">In secondary analyses, we will consider the effect of amount and duration of hookah smoking by fitting categorical (e.g., tertiles of exposure distribution among controls) and continuous (linear) variables. We will also explore the presence of a non-linear relation with cancer risk by adding non-linear terms (splines) to the regression models, </w:t>
      </w:r>
      <w:proofErr w:type="gramStart"/>
      <w:r w:rsidRPr="00217BC0">
        <w:rPr>
          <w:rFonts w:ascii="Arial" w:hAnsi="Arial" w:cs="Arial"/>
          <w:lang w:val="en-US"/>
        </w:rPr>
        <w:t>In</w:t>
      </w:r>
      <w:proofErr w:type="gramEnd"/>
      <w:r w:rsidRPr="00217BC0">
        <w:rPr>
          <w:rFonts w:ascii="Arial" w:hAnsi="Arial" w:cs="Arial"/>
          <w:lang w:val="en-US"/>
        </w:rPr>
        <w:t xml:space="preserve"> additional exploratory analyses, we will consider cancer subtypes (i.e., histologic types of lung cancer, subsites within the head and neck and the colorectum), and a possible effect modification by gender, age, and cigarette and opium smoking. Specific attention will be given to the analysis of the interaction between hookah and cigarette smoking, since dual users represent </w:t>
      </w:r>
      <w:proofErr w:type="gramStart"/>
      <w:r w:rsidRPr="00217BC0">
        <w:rPr>
          <w:rFonts w:ascii="Arial" w:hAnsi="Arial" w:cs="Arial"/>
          <w:lang w:val="en-US"/>
        </w:rPr>
        <w:t>the majority of</w:t>
      </w:r>
      <w:proofErr w:type="gramEnd"/>
      <w:r w:rsidRPr="00217BC0">
        <w:rPr>
          <w:rFonts w:ascii="Arial" w:hAnsi="Arial" w:cs="Arial"/>
          <w:lang w:val="en-US"/>
        </w:rPr>
        <w:t xml:space="preserve"> hookah smokers in high-income countries.</w:t>
      </w:r>
    </w:p>
    <w:p w14:paraId="44832238" w14:textId="77777777" w:rsidR="003006A5" w:rsidRPr="00217BC0" w:rsidRDefault="003006A5" w:rsidP="008A4174">
      <w:pPr>
        <w:tabs>
          <w:tab w:val="left" w:pos="540"/>
        </w:tabs>
        <w:jc w:val="both"/>
        <w:rPr>
          <w:rFonts w:ascii="Arial" w:hAnsi="Arial" w:cs="Arial"/>
          <w:lang w:val="en-US"/>
        </w:rPr>
      </w:pPr>
      <w:r w:rsidRPr="00217BC0">
        <w:rPr>
          <w:rFonts w:ascii="Arial" w:hAnsi="Arial" w:cs="Arial"/>
          <w:u w:val="single"/>
          <w:lang w:val="en-US"/>
        </w:rPr>
        <w:t>Sensitivity analysis of regression dilution.</w:t>
      </w:r>
      <w:r w:rsidRPr="00217BC0">
        <w:rPr>
          <w:rFonts w:ascii="Arial" w:hAnsi="Arial" w:cs="Arial"/>
          <w:lang w:val="en-US"/>
        </w:rPr>
        <w:t xml:space="preserve"> The availability of results on biomarkers of tobacco exposure from Specific Aim 2 will allow </w:t>
      </w:r>
      <w:r w:rsidRPr="00217BC0">
        <w:rPr>
          <w:rFonts w:ascii="Arial" w:hAnsi="Arial" w:cs="Arial"/>
          <w:shd w:val="clear" w:color="auto" w:fill="FFFFFF"/>
          <w:lang w:val="en-US"/>
        </w:rPr>
        <w:t>conducting</w:t>
      </w:r>
      <w:r w:rsidRPr="00217BC0">
        <w:rPr>
          <w:rFonts w:ascii="Arial" w:hAnsi="Arial" w:cs="Arial"/>
          <w:bCs/>
          <w:lang w:val="en-US"/>
        </w:rPr>
        <w:t xml:space="preserve"> a sensitivity analysis aimed at testing the hypothesis that adjustment for regression dilution [Clarke et al., 1999] will result in a stronger association between hookah smoking and cancer risk than that based on self-reported exposure alone.  Specifically, w</w:t>
      </w:r>
      <w:r w:rsidRPr="00217BC0">
        <w:rPr>
          <w:rFonts w:ascii="Arial" w:hAnsi="Arial" w:cs="Arial"/>
          <w:lang w:val="en-US"/>
        </w:rPr>
        <w:t xml:space="preserve">e will estimate in subjects included in Aim 2 the correlation coefficient between self-reported hookah smoking and urinary cotinine level. The resulting reliability coefficient will be used to correct for regression dilution the risk estimates obtained in Aim 1 </w:t>
      </w:r>
      <w:r w:rsidRPr="00866685">
        <w:rPr>
          <w:rFonts w:ascii="Arial" w:hAnsi="Arial" w:cs="Arial"/>
        </w:rPr>
        <w:fldChar w:fldCharType="begin">
          <w:fldData xml:space="preserve">PEVuZE5vdGU+PENpdGU+PEF1dGhvcj5Cb2ZmZXR0YTwvQXV0aG9yPjxZZWFyPjIwMDY8L1llYXI+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</w:fldData>
        </w:fldChar>
      </w:r>
      <w:r w:rsidRPr="00217BC0">
        <w:rPr>
          <w:rFonts w:ascii="Arial" w:hAnsi="Arial" w:cs="Arial"/>
          <w:lang w:val="en-US"/>
        </w:rPr>
        <w:instrText xml:space="preserve"> ADDIN EN.CITE </w:instrText>
      </w:r>
      <w:r w:rsidRPr="00866685">
        <w:rPr>
          <w:rFonts w:ascii="Arial" w:hAnsi="Arial" w:cs="Arial"/>
        </w:rPr>
        <w:fldChar w:fldCharType="begin">
          <w:fldData xml:space="preserve">PEVuZE5vdGU+PENpdGU+PEF1dGhvcj5Cb2ZmZXR0YTwvQXV0aG9yPjxZZWFyPjIwMDY8L1llYXI+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</w:fldData>
        </w:fldChar>
      </w:r>
      <w:r w:rsidRPr="00217BC0">
        <w:rPr>
          <w:rFonts w:ascii="Arial" w:hAnsi="Arial" w:cs="Arial"/>
          <w:lang w:val="en-US"/>
        </w:rPr>
        <w:instrText xml:space="preserve"> ADDIN EN.CITE.DATA </w:instrText>
      </w:r>
      <w:r w:rsidRPr="00866685">
        <w:rPr>
          <w:rFonts w:ascii="Arial" w:hAnsi="Arial" w:cs="Arial"/>
        </w:rPr>
      </w:r>
      <w:r w:rsidRPr="00866685">
        <w:rPr>
          <w:rFonts w:ascii="Arial" w:hAnsi="Arial" w:cs="Arial"/>
        </w:rPr>
        <w:fldChar w:fldCharType="end"/>
      </w:r>
      <w:r w:rsidRPr="00866685">
        <w:rPr>
          <w:rFonts w:ascii="Arial" w:hAnsi="Arial" w:cs="Arial"/>
        </w:rPr>
      </w:r>
      <w:r w:rsidRPr="00866685">
        <w:rPr>
          <w:rFonts w:ascii="Arial" w:hAnsi="Arial" w:cs="Arial"/>
        </w:rPr>
        <w:fldChar w:fldCharType="separate"/>
      </w:r>
      <w:r w:rsidRPr="00217BC0">
        <w:rPr>
          <w:rFonts w:ascii="Arial" w:hAnsi="Arial" w:cs="Arial"/>
          <w:noProof/>
          <w:lang w:val="en-US"/>
        </w:rPr>
        <w:t>[</w:t>
      </w:r>
      <w:r w:rsidRPr="00217BC0">
        <w:rPr>
          <w:rFonts w:ascii="Arial" w:hAnsi="Arial" w:cs="Arial"/>
          <w:bCs/>
          <w:lang w:val="en-US"/>
        </w:rPr>
        <w:t>Clarke et al., 1999</w:t>
      </w:r>
      <w:r w:rsidRPr="00217BC0">
        <w:rPr>
          <w:rFonts w:ascii="Arial" w:hAnsi="Arial" w:cs="Arial"/>
          <w:noProof/>
          <w:lang w:val="en-US"/>
        </w:rPr>
        <w:t>]</w:t>
      </w:r>
      <w:r w:rsidRPr="00866685">
        <w:rPr>
          <w:rFonts w:ascii="Arial" w:hAnsi="Arial" w:cs="Arial"/>
        </w:rPr>
        <w:fldChar w:fldCharType="end"/>
      </w:r>
      <w:r w:rsidRPr="00217BC0">
        <w:rPr>
          <w:rFonts w:ascii="Arial" w:hAnsi="Arial" w:cs="Arial"/>
          <w:lang w:val="en-US"/>
        </w:rPr>
        <w:t>.</w:t>
      </w:r>
    </w:p>
    <w:p w14:paraId="75C4A7FD" w14:textId="77777777" w:rsidR="003006A5" w:rsidRPr="00217BC0" w:rsidRDefault="003006A5" w:rsidP="008A4174">
      <w:pPr>
        <w:tabs>
          <w:tab w:val="left" w:pos="540"/>
        </w:tabs>
        <w:jc w:val="both"/>
        <w:rPr>
          <w:sz w:val="22"/>
          <w:szCs w:val="22"/>
          <w:lang w:val="en-US"/>
        </w:rPr>
      </w:pPr>
      <w:r w:rsidRPr="00217BC0">
        <w:rPr>
          <w:rFonts w:ascii="Arial" w:hAnsi="Arial" w:cs="Arial"/>
          <w:bCs/>
          <w:u w:val="single"/>
          <w:lang w:val="en-US"/>
        </w:rPr>
        <w:t>Statistical power</w:t>
      </w:r>
      <w:r w:rsidRPr="00217BC0">
        <w:rPr>
          <w:rFonts w:ascii="Arial" w:hAnsi="Arial" w:cs="Arial"/>
          <w:bCs/>
          <w:lang w:val="en-US"/>
        </w:rPr>
        <w:t>.</w:t>
      </w:r>
      <w:r w:rsidRPr="00217BC0">
        <w:rPr>
          <w:rFonts w:ascii="Arial" w:hAnsi="Arial" w:cs="Arial"/>
          <w:lang w:val="en-US"/>
        </w:rPr>
        <w:t xml:space="preserve"> The analysis of each cancer site will be based on 800 cases and 800 controls and will have &gt;80% statistical power to detect as statistically significant (at </w:t>
      </w:r>
      <w:r w:rsidRPr="00866685">
        <w:rPr>
          <w:rFonts w:ascii="Arial" w:hAnsi="Arial" w:cs="Arial"/>
        </w:rPr>
        <w:t>α</w:t>
      </w:r>
      <w:r w:rsidRPr="00217BC0">
        <w:rPr>
          <w:rFonts w:ascii="Arial" w:hAnsi="Arial" w:cs="Arial"/>
          <w:lang w:val="en-US"/>
        </w:rPr>
        <w:t>=0.05) an OR of 1.35 for current hookah smoking assuming a prevalence of 20% among controls. This OR is substantially lower than those detected in previous studies of cancer risk from hookah smoking (</w:t>
      </w:r>
      <w:r w:rsidRPr="00217BC0">
        <w:rPr>
          <w:rFonts w:ascii="Arial" w:hAnsi="Arial" w:cs="Arial"/>
          <w:b/>
          <w:bCs/>
          <w:lang w:val="en-US"/>
        </w:rPr>
        <w:t>Table 1</w:t>
      </w:r>
      <w:proofErr w:type="gramStart"/>
      <w:r w:rsidRPr="00217BC0">
        <w:rPr>
          <w:rFonts w:ascii="Arial" w:hAnsi="Arial" w:cs="Arial"/>
          <w:lang w:val="en-US"/>
        </w:rPr>
        <w:t>), and</w:t>
      </w:r>
      <w:proofErr w:type="gramEnd"/>
      <w:r w:rsidRPr="00217BC0">
        <w:rPr>
          <w:rFonts w:ascii="Arial" w:hAnsi="Arial" w:cs="Arial"/>
          <w:lang w:val="en-US"/>
        </w:rPr>
        <w:t xml:space="preserve"> is comparable to the risk of colorectal cancer from cigarette smoking [Liang et al., 2009], the cancer included in the analysis with the weakest association with cigarette smoking (no results on colorectal cancer from hookah smoking are available in the literature). The analysis of the interaction between cigarette smoking and hookah smoking will be conducted in the combined series of 3200 case-</w:t>
      </w:r>
      <w:r w:rsidRPr="00217BC0">
        <w:rPr>
          <w:rFonts w:ascii="Arial" w:hAnsi="Arial" w:cs="Arial"/>
          <w:lang w:val="en-US"/>
        </w:rPr>
        <w:lastRenderedPageBreak/>
        <w:t>control pairs. Assuming an OR of 3 for cigarette smoking and 2 for hookah smoking, with respective prevalence of 40% and 20%, the analysis will have 80% to detect an interaction OR in the order of 1.25. This interaction OR is substantially lower than that detected for the interaction between cigarette smoking and other carcinogens, such as alcohol drinking for head and neck cancer [Hashibe et al., 2009].</w:t>
      </w:r>
    </w:p>
    <w:p w14:paraId="727FA1E4" w14:textId="77777777" w:rsidR="00100578" w:rsidRDefault="00100578">
      <w:pPr>
        <w:rPr>
          <w:lang w:val="en-US"/>
        </w:rPr>
      </w:pPr>
    </w:p>
    <w:p w14:paraId="64D24CCB" w14:textId="71A01933" w:rsidR="003006A5" w:rsidRPr="003006A5" w:rsidRDefault="003006A5">
      <w:pPr>
        <w:rPr>
          <w:rFonts w:ascii="Arial" w:hAnsi="Arial" w:cs="Arial"/>
          <w:b/>
          <w:bCs/>
          <w:lang w:val="en-US"/>
        </w:rPr>
      </w:pPr>
      <w:r w:rsidRPr="003006A5">
        <w:rPr>
          <w:rFonts w:ascii="Arial" w:hAnsi="Arial" w:cs="Arial"/>
          <w:b/>
          <w:bCs/>
          <w:lang w:val="en-US"/>
        </w:rPr>
        <w:t>Fellow’s Tasks</w:t>
      </w:r>
    </w:p>
    <w:p w14:paraId="148EE72D" w14:textId="494762D1" w:rsidR="003006A5" w:rsidRPr="003006A5" w:rsidRDefault="003006A5">
      <w:pPr>
        <w:rPr>
          <w:lang w:val="en-US"/>
        </w:rPr>
      </w:pPr>
      <w:r w:rsidRPr="00217BC0">
        <w:rPr>
          <w:rFonts w:ascii="Arial" w:hAnsi="Arial" w:cs="Arial"/>
          <w:szCs w:val="22"/>
          <w:lang w:val="en-US"/>
        </w:rPr>
        <w:t>Fellow will work in the management of data to be acquired from the IROPICAN Study and in the analysis of the data, in collaboration with the data provider.  They will also collaborate with other partners involved in the Hookah and Cancer Risk Project, including laboratories for biomarker analysis, Specifically, they will be engaged in conducting descriptive and analytical statistical analyses on cancer risk from hookah smoking using standard epidemiology methods (e.g., multivariable logistic and Cox regression) under SAS, STATA or R</w:t>
      </w:r>
    </w:p>
    <w:sectPr w:rsidR="003006A5" w:rsidRPr="003006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LTStd-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A5"/>
    <w:rsid w:val="00100578"/>
    <w:rsid w:val="003006A5"/>
    <w:rsid w:val="0076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3F60"/>
  <w15:chartTrackingRefBased/>
  <w15:docId w15:val="{4F9AE0E9-25BC-46B0-90EA-02E83E1D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A5"/>
    <w:rPr>
      <w:rFonts w:ascii="Times New Roman" w:eastAsia="Times New Roman" w:hAnsi="Times New Roman" w:cs="Times New Roman"/>
      <w:kern w:val="0"/>
      <w:lang w:val="it-IT" w:eastAsia="it-IT"/>
      <w14:ligatures w14:val="none"/>
    </w:rPr>
  </w:style>
  <w:style w:type="paragraph" w:styleId="Heading1">
    <w:name w:val="heading 1"/>
    <w:basedOn w:val="Normal"/>
    <w:next w:val="Normal"/>
    <w:link w:val="Heading1Char"/>
    <w:uiPriority w:val="9"/>
    <w:qFormat/>
    <w:rsid w:val="003006A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006A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006A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006A5"/>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3006A5"/>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3006A5"/>
    <w:pPr>
      <w:keepNext/>
      <w:keepLines/>
      <w:spacing w:before="40" w:line="259"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3006A5"/>
    <w:pPr>
      <w:keepNext/>
      <w:keepLines/>
      <w:spacing w:before="40" w:line="259"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3006A5"/>
    <w:pPr>
      <w:keepNext/>
      <w:keepLines/>
      <w:spacing w:line="259"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3006A5"/>
    <w:pPr>
      <w:keepNext/>
      <w:keepLines/>
      <w:spacing w:line="259"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6A5"/>
    <w:rPr>
      <w:rFonts w:eastAsiaTheme="majorEastAsia" w:cstheme="majorBidi"/>
      <w:color w:val="272727" w:themeColor="text1" w:themeTint="D8"/>
    </w:rPr>
  </w:style>
  <w:style w:type="paragraph" w:styleId="Title">
    <w:name w:val="Title"/>
    <w:basedOn w:val="Normal"/>
    <w:next w:val="Normal"/>
    <w:link w:val="TitleChar"/>
    <w:uiPriority w:val="10"/>
    <w:qFormat/>
    <w:rsid w:val="003006A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00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6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00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6A5"/>
    <w:pPr>
      <w:spacing w:before="160" w:after="160" w:line="259"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3006A5"/>
    <w:rPr>
      <w:i/>
      <w:iCs/>
      <w:color w:val="404040" w:themeColor="text1" w:themeTint="BF"/>
    </w:rPr>
  </w:style>
  <w:style w:type="paragraph" w:styleId="ListParagraph">
    <w:name w:val="List Paragraph"/>
    <w:basedOn w:val="Normal"/>
    <w:uiPriority w:val="34"/>
    <w:qFormat/>
    <w:rsid w:val="003006A5"/>
    <w:pPr>
      <w:spacing w:line="259"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3006A5"/>
    <w:rPr>
      <w:i/>
      <w:iCs/>
      <w:color w:val="0F4761" w:themeColor="accent1" w:themeShade="BF"/>
    </w:rPr>
  </w:style>
  <w:style w:type="paragraph" w:styleId="IntenseQuote">
    <w:name w:val="Intense Quote"/>
    <w:basedOn w:val="Normal"/>
    <w:next w:val="Normal"/>
    <w:link w:val="IntenseQuoteChar"/>
    <w:uiPriority w:val="30"/>
    <w:qFormat/>
    <w:rsid w:val="003006A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3006A5"/>
    <w:rPr>
      <w:i/>
      <w:iCs/>
      <w:color w:val="0F4761" w:themeColor="accent1" w:themeShade="BF"/>
    </w:rPr>
  </w:style>
  <w:style w:type="character" w:styleId="IntenseReference">
    <w:name w:val="Intense Reference"/>
    <w:basedOn w:val="DefaultParagraphFont"/>
    <w:uiPriority w:val="32"/>
    <w:qFormat/>
    <w:rsid w:val="003006A5"/>
    <w:rPr>
      <w:b/>
      <w:bCs/>
      <w:smallCaps/>
      <w:color w:val="0F4761" w:themeColor="accent1" w:themeShade="BF"/>
      <w:spacing w:val="5"/>
    </w:rPr>
  </w:style>
  <w:style w:type="table" w:styleId="TableGrid">
    <w:name w:val="Table Grid"/>
    <w:basedOn w:val="TableNormal"/>
    <w:uiPriority w:val="59"/>
    <w:rsid w:val="003006A5"/>
    <w:rPr>
      <w:rFonts w:ascii="Times New Roman" w:hAnsi="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2967</Words>
  <Characters>16914</Characters>
  <Application>Microsoft Office Word</Application>
  <DocSecurity>0</DocSecurity>
  <Lines>140</Lines>
  <Paragraphs>39</Paragraphs>
  <ScaleCrop>false</ScaleCrop>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Boffetta</dc:creator>
  <cp:keywords/>
  <dc:description/>
  <cp:lastModifiedBy>Paolo Boffetta</cp:lastModifiedBy>
  <cp:revision>1</cp:revision>
  <dcterms:created xsi:type="dcterms:W3CDTF">2025-03-27T19:21:00Z</dcterms:created>
  <dcterms:modified xsi:type="dcterms:W3CDTF">2025-03-27T19:23:00Z</dcterms:modified>
</cp:coreProperties>
</file>